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B7A8DC" w14:textId="5A12514D" w:rsidR="00411292" w:rsidRPr="00EF153E" w:rsidRDefault="00411292" w:rsidP="00B52BD6">
      <w:pPr>
        <w:spacing w:before="120" w:after="120" w:line="276" w:lineRule="auto"/>
        <w:jc w:val="center"/>
        <w:rPr>
          <w:rFonts w:ascii="Times New Roman" w:hAnsi="Times New Roman" w:cs="Times New Roman"/>
          <w:b/>
          <w:bCs/>
          <w:sz w:val="24"/>
          <w:szCs w:val="24"/>
          <w:u w:val="single"/>
        </w:rPr>
      </w:pPr>
      <w:r w:rsidRPr="00EF153E">
        <w:rPr>
          <w:rFonts w:ascii="Times New Roman" w:hAnsi="Times New Roman" w:cs="Times New Roman"/>
          <w:b/>
          <w:bCs/>
          <w:sz w:val="24"/>
          <w:szCs w:val="24"/>
          <w:u w:val="single"/>
        </w:rPr>
        <w:t>N</w:t>
      </w:r>
      <w:r w:rsidR="003F1385" w:rsidRPr="00EF153E">
        <w:rPr>
          <w:rFonts w:ascii="Times New Roman" w:hAnsi="Times New Roman" w:cs="Times New Roman"/>
          <w:b/>
          <w:bCs/>
          <w:sz w:val="24"/>
          <w:szCs w:val="24"/>
          <w:u w:val="single"/>
        </w:rPr>
        <w:t>otes</w:t>
      </w:r>
      <w:r w:rsidR="006173EB" w:rsidRPr="00EF153E">
        <w:rPr>
          <w:rFonts w:ascii="Times New Roman" w:hAnsi="Times New Roman" w:cs="Times New Roman"/>
          <w:b/>
          <w:bCs/>
          <w:sz w:val="24"/>
          <w:szCs w:val="24"/>
          <w:u w:val="single"/>
        </w:rPr>
        <w:t xml:space="preserve"> </w:t>
      </w:r>
      <w:r w:rsidR="00DF2805" w:rsidRPr="00EF153E">
        <w:rPr>
          <w:rFonts w:ascii="Times New Roman" w:hAnsi="Times New Roman" w:cs="Times New Roman"/>
          <w:b/>
          <w:bCs/>
          <w:sz w:val="24"/>
          <w:szCs w:val="24"/>
          <w:u w:val="single"/>
        </w:rPr>
        <w:t>t</w:t>
      </w:r>
      <w:r w:rsidR="003F1385" w:rsidRPr="00EF153E">
        <w:rPr>
          <w:rFonts w:ascii="Times New Roman" w:hAnsi="Times New Roman" w:cs="Times New Roman"/>
          <w:b/>
          <w:bCs/>
          <w:sz w:val="24"/>
          <w:szCs w:val="24"/>
          <w:u w:val="single"/>
        </w:rPr>
        <w:t>o</w:t>
      </w:r>
      <w:r w:rsidR="006173EB" w:rsidRPr="00EF153E">
        <w:rPr>
          <w:rFonts w:ascii="Times New Roman" w:hAnsi="Times New Roman" w:cs="Times New Roman"/>
          <w:b/>
          <w:bCs/>
          <w:sz w:val="24"/>
          <w:szCs w:val="24"/>
          <w:u w:val="single"/>
        </w:rPr>
        <w:t xml:space="preserve"> </w:t>
      </w:r>
      <w:r w:rsidR="006F1DCD" w:rsidRPr="00EF153E">
        <w:rPr>
          <w:rFonts w:ascii="Times New Roman" w:hAnsi="Times New Roman" w:cs="Times New Roman"/>
          <w:b/>
          <w:bCs/>
          <w:sz w:val="24"/>
          <w:szCs w:val="24"/>
          <w:u w:val="single"/>
        </w:rPr>
        <w:t xml:space="preserve">Finance </w:t>
      </w:r>
      <w:r w:rsidRPr="00EF153E">
        <w:rPr>
          <w:rFonts w:ascii="Times New Roman" w:hAnsi="Times New Roman" w:cs="Times New Roman"/>
          <w:b/>
          <w:bCs/>
          <w:sz w:val="24"/>
          <w:szCs w:val="24"/>
          <w:u w:val="single"/>
        </w:rPr>
        <w:t>A</w:t>
      </w:r>
      <w:r w:rsidR="003F1385" w:rsidRPr="00EF153E">
        <w:rPr>
          <w:rFonts w:ascii="Times New Roman" w:hAnsi="Times New Roman" w:cs="Times New Roman"/>
          <w:b/>
          <w:bCs/>
          <w:sz w:val="24"/>
          <w:szCs w:val="24"/>
          <w:u w:val="single"/>
        </w:rPr>
        <w:t>ccounts</w:t>
      </w:r>
      <w:r w:rsidR="006F1DCD" w:rsidRPr="00EF153E">
        <w:rPr>
          <w:rFonts w:ascii="Times New Roman" w:hAnsi="Times New Roman" w:cs="Times New Roman"/>
          <w:b/>
          <w:bCs/>
          <w:sz w:val="24"/>
          <w:szCs w:val="24"/>
          <w:u w:val="single"/>
        </w:rPr>
        <w:t xml:space="preserve"> for the year</w:t>
      </w:r>
      <w:r w:rsidR="006173EB" w:rsidRPr="00EF153E">
        <w:rPr>
          <w:rFonts w:ascii="Times New Roman" w:hAnsi="Times New Roman" w:cs="Times New Roman"/>
          <w:b/>
          <w:bCs/>
          <w:sz w:val="24"/>
          <w:szCs w:val="24"/>
          <w:u w:val="single"/>
        </w:rPr>
        <w:t xml:space="preserve"> </w:t>
      </w:r>
      <w:r w:rsidR="0096373D">
        <w:rPr>
          <w:rFonts w:ascii="Times New Roman" w:hAnsi="Times New Roman" w:cs="Times New Roman"/>
          <w:b/>
          <w:bCs/>
          <w:sz w:val="24"/>
          <w:szCs w:val="24"/>
          <w:u w:val="single"/>
        </w:rPr>
        <w:t>2022-23</w:t>
      </w:r>
    </w:p>
    <w:p w14:paraId="4AD5D198" w14:textId="77777777" w:rsidR="001834F6" w:rsidRPr="00EF153E" w:rsidRDefault="008546EF" w:rsidP="00E41168">
      <w:pPr>
        <w:pStyle w:val="ListParagraph"/>
        <w:widowControl w:val="0"/>
        <w:numPr>
          <w:ilvl w:val="0"/>
          <w:numId w:val="15"/>
        </w:numPr>
        <w:autoSpaceDE w:val="0"/>
        <w:autoSpaceDN w:val="0"/>
        <w:adjustRightInd w:val="0"/>
        <w:spacing w:before="240" w:after="240" w:line="240" w:lineRule="auto"/>
        <w:ind w:left="360"/>
        <w:contextualSpacing w:val="0"/>
        <w:jc w:val="both"/>
        <w:rPr>
          <w:rFonts w:ascii="Times New Roman" w:hAnsi="Times New Roman" w:cs="Times New Roman"/>
          <w:bCs/>
          <w:sz w:val="24"/>
          <w:szCs w:val="24"/>
        </w:rPr>
      </w:pPr>
      <w:r w:rsidRPr="00EF153E">
        <w:rPr>
          <w:rFonts w:ascii="Times New Roman" w:hAnsi="Times New Roman" w:cs="Times New Roman"/>
          <w:b/>
          <w:sz w:val="24"/>
          <w:szCs w:val="24"/>
        </w:rPr>
        <w:t xml:space="preserve">Summary of Significant Accounting Policies: </w:t>
      </w:r>
    </w:p>
    <w:p w14:paraId="07D68D9D" w14:textId="77777777" w:rsidR="00886726" w:rsidRPr="00EF153E" w:rsidRDefault="00886726" w:rsidP="00DC5102">
      <w:pPr>
        <w:pStyle w:val="ListParagraph"/>
        <w:widowControl w:val="0"/>
        <w:numPr>
          <w:ilvl w:val="0"/>
          <w:numId w:val="16"/>
        </w:numPr>
        <w:autoSpaceDE w:val="0"/>
        <w:autoSpaceDN w:val="0"/>
        <w:adjustRightInd w:val="0"/>
        <w:spacing w:before="240" w:after="240" w:line="240" w:lineRule="auto"/>
        <w:contextualSpacing w:val="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
          <w:sz w:val="24"/>
          <w:szCs w:val="24"/>
        </w:rPr>
        <w:t>Reporting Entity</w:t>
      </w:r>
      <w:r w:rsidRPr="00EF153E">
        <w:rPr>
          <w:rStyle w:val="zmsearchresult"/>
          <w:rFonts w:ascii="Times New Roman" w:hAnsi="Times New Roman" w:cs="Times New Roman"/>
          <w:bCs/>
          <w:sz w:val="24"/>
          <w:szCs w:val="24"/>
        </w:rPr>
        <w:t>:</w:t>
      </w:r>
    </w:p>
    <w:p w14:paraId="4D0367E6" w14:textId="584EB390" w:rsidR="001834F6" w:rsidRPr="00EF153E" w:rsidRDefault="00886726"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 xml:space="preserve">These accounts present the transactions of the Government of </w:t>
      </w:r>
      <w:r w:rsidR="006173EB" w:rsidRPr="00EF153E">
        <w:rPr>
          <w:rStyle w:val="zmsearchresult"/>
          <w:rFonts w:ascii="Times New Roman" w:hAnsi="Times New Roman" w:cs="Times New Roman"/>
          <w:bCs/>
          <w:sz w:val="24"/>
          <w:szCs w:val="24"/>
        </w:rPr>
        <w:t>Manipur.</w:t>
      </w:r>
      <w:r w:rsidRPr="00EF153E">
        <w:rPr>
          <w:rStyle w:val="zmsearchresult"/>
          <w:rFonts w:ascii="Times New Roman" w:hAnsi="Times New Roman" w:cs="Times New Roman"/>
          <w:bCs/>
          <w:sz w:val="24"/>
          <w:szCs w:val="24"/>
        </w:rPr>
        <w:t xml:space="preserve"> The accounts of receipts and expenditure of the Government of </w:t>
      </w:r>
      <w:r w:rsidR="006173EB" w:rsidRPr="00EF153E">
        <w:rPr>
          <w:rStyle w:val="zmsearchresult"/>
          <w:rFonts w:ascii="Times New Roman" w:hAnsi="Times New Roman" w:cs="Times New Roman"/>
          <w:bCs/>
          <w:sz w:val="24"/>
          <w:szCs w:val="24"/>
        </w:rPr>
        <w:t>Manipur</w:t>
      </w:r>
      <w:r w:rsidRPr="00EF153E">
        <w:rPr>
          <w:rStyle w:val="zmsearchresult"/>
          <w:rFonts w:ascii="Times New Roman" w:hAnsi="Times New Roman" w:cs="Times New Roman"/>
          <w:bCs/>
          <w:sz w:val="24"/>
          <w:szCs w:val="24"/>
        </w:rPr>
        <w:t xml:space="preserve"> have been compiled based on the initial accounts rendered by </w:t>
      </w:r>
      <w:r w:rsidR="006173EB" w:rsidRPr="00EF153E">
        <w:rPr>
          <w:rStyle w:val="zmsearchresult"/>
          <w:rFonts w:ascii="Times New Roman" w:hAnsi="Times New Roman" w:cs="Times New Roman"/>
          <w:bCs/>
          <w:sz w:val="24"/>
          <w:szCs w:val="24"/>
        </w:rPr>
        <w:t>1</w:t>
      </w:r>
      <w:r w:rsidR="001F14E5">
        <w:rPr>
          <w:rStyle w:val="zmsearchresult"/>
          <w:rFonts w:ascii="Times New Roman" w:hAnsi="Times New Roman" w:cs="Times New Roman"/>
          <w:bCs/>
          <w:sz w:val="24"/>
          <w:szCs w:val="24"/>
        </w:rPr>
        <w:t>2</w:t>
      </w:r>
      <w:r w:rsidRPr="00EF153E">
        <w:rPr>
          <w:rStyle w:val="zmsearchresult"/>
          <w:rFonts w:ascii="Times New Roman" w:hAnsi="Times New Roman" w:cs="Times New Roman"/>
          <w:bCs/>
          <w:sz w:val="24"/>
          <w:szCs w:val="24"/>
        </w:rPr>
        <w:t xml:space="preserve"> Treasuries, </w:t>
      </w:r>
      <w:r w:rsidR="006173EB" w:rsidRPr="00EF153E">
        <w:rPr>
          <w:rStyle w:val="zmsearchresult"/>
          <w:rFonts w:ascii="Times New Roman" w:hAnsi="Times New Roman" w:cs="Times New Roman"/>
          <w:bCs/>
          <w:sz w:val="24"/>
          <w:szCs w:val="24"/>
        </w:rPr>
        <w:t>58</w:t>
      </w:r>
      <w:r w:rsidRPr="00EF153E">
        <w:rPr>
          <w:rStyle w:val="zmsearchresult"/>
          <w:rFonts w:ascii="Times New Roman" w:hAnsi="Times New Roman" w:cs="Times New Roman"/>
          <w:bCs/>
          <w:sz w:val="24"/>
          <w:szCs w:val="24"/>
        </w:rPr>
        <w:t xml:space="preserve"> Public Works Divisions (</w:t>
      </w:r>
      <w:r w:rsidR="006173EB" w:rsidRPr="00EF153E">
        <w:rPr>
          <w:rStyle w:val="zmsearchresult"/>
          <w:rFonts w:ascii="Times New Roman" w:hAnsi="Times New Roman" w:cs="Times New Roman"/>
          <w:bCs/>
          <w:sz w:val="24"/>
          <w:szCs w:val="24"/>
        </w:rPr>
        <w:t xml:space="preserve">33 </w:t>
      </w:r>
      <w:r w:rsidRPr="00EF153E">
        <w:rPr>
          <w:rStyle w:val="zmsearchresult"/>
          <w:rFonts w:ascii="Times New Roman" w:hAnsi="Times New Roman" w:cs="Times New Roman"/>
          <w:bCs/>
          <w:sz w:val="24"/>
          <w:szCs w:val="24"/>
        </w:rPr>
        <w:t xml:space="preserve">Building and Roads, </w:t>
      </w:r>
      <w:r w:rsidR="006173EB" w:rsidRPr="00EF153E">
        <w:rPr>
          <w:rStyle w:val="zmsearchresult"/>
          <w:rFonts w:ascii="Times New Roman" w:hAnsi="Times New Roman" w:cs="Times New Roman"/>
          <w:bCs/>
          <w:sz w:val="24"/>
          <w:szCs w:val="24"/>
        </w:rPr>
        <w:t xml:space="preserve">25 </w:t>
      </w:r>
      <w:r w:rsidRPr="00EF153E">
        <w:rPr>
          <w:rStyle w:val="zmsearchresult"/>
          <w:rFonts w:ascii="Times New Roman" w:hAnsi="Times New Roman" w:cs="Times New Roman"/>
          <w:bCs/>
          <w:sz w:val="24"/>
          <w:szCs w:val="24"/>
        </w:rPr>
        <w:t>Water Supply and Sanitation / Public Health Engineering</w:t>
      </w:r>
      <w:r w:rsidR="0024147B" w:rsidRPr="00EF153E">
        <w:rPr>
          <w:rStyle w:val="zmsearchresult"/>
          <w:rFonts w:ascii="Times New Roman" w:hAnsi="Times New Roman" w:cs="Times New Roman"/>
          <w:bCs/>
          <w:sz w:val="24"/>
          <w:szCs w:val="24"/>
        </w:rPr>
        <w:t>)</w:t>
      </w:r>
      <w:r w:rsidRPr="00EF153E">
        <w:rPr>
          <w:rStyle w:val="zmsearchresult"/>
          <w:rFonts w:ascii="Times New Roman" w:hAnsi="Times New Roman" w:cs="Times New Roman"/>
          <w:bCs/>
          <w:sz w:val="24"/>
          <w:szCs w:val="24"/>
        </w:rPr>
        <w:t xml:space="preserve">, </w:t>
      </w:r>
      <w:r w:rsidR="006173EB" w:rsidRPr="00EF153E">
        <w:rPr>
          <w:rStyle w:val="zmsearchresult"/>
          <w:rFonts w:ascii="Times New Roman" w:hAnsi="Times New Roman" w:cs="Times New Roman"/>
          <w:bCs/>
          <w:sz w:val="24"/>
          <w:szCs w:val="24"/>
        </w:rPr>
        <w:t>33</w:t>
      </w:r>
      <w:r w:rsidRPr="00EF153E">
        <w:rPr>
          <w:rStyle w:val="zmsearchresult"/>
          <w:rFonts w:ascii="Times New Roman" w:hAnsi="Times New Roman" w:cs="Times New Roman"/>
          <w:bCs/>
          <w:sz w:val="24"/>
          <w:szCs w:val="24"/>
        </w:rPr>
        <w:t xml:space="preserve"> Forest Divisions, </w:t>
      </w:r>
      <w:r w:rsidR="006173EB" w:rsidRPr="00EF153E">
        <w:rPr>
          <w:rStyle w:val="zmsearchresult"/>
          <w:rFonts w:ascii="Times New Roman" w:hAnsi="Times New Roman" w:cs="Times New Roman"/>
          <w:bCs/>
          <w:sz w:val="24"/>
          <w:szCs w:val="24"/>
        </w:rPr>
        <w:t>26</w:t>
      </w:r>
      <w:r w:rsidRPr="00EF153E">
        <w:rPr>
          <w:rStyle w:val="zmsearchresult"/>
          <w:rFonts w:ascii="Times New Roman" w:hAnsi="Times New Roman" w:cs="Times New Roman"/>
          <w:bCs/>
          <w:sz w:val="24"/>
          <w:szCs w:val="24"/>
        </w:rPr>
        <w:t xml:space="preserve"> Irrigation / Water Resources Divisions, </w:t>
      </w:r>
      <w:r w:rsidR="006173EB" w:rsidRPr="00EF153E">
        <w:rPr>
          <w:rStyle w:val="zmsearchresult"/>
          <w:rFonts w:ascii="Times New Roman" w:hAnsi="Times New Roman" w:cs="Times New Roman"/>
          <w:bCs/>
          <w:sz w:val="24"/>
          <w:szCs w:val="24"/>
        </w:rPr>
        <w:t>10</w:t>
      </w:r>
      <w:r w:rsidRPr="00EF153E">
        <w:rPr>
          <w:rStyle w:val="zmsearchresult"/>
          <w:rFonts w:ascii="Times New Roman" w:hAnsi="Times New Roman" w:cs="Times New Roman"/>
          <w:bCs/>
          <w:sz w:val="24"/>
          <w:szCs w:val="24"/>
        </w:rPr>
        <w:t xml:space="preserve"> Pay and Accounts Offices and Advice</w:t>
      </w:r>
      <w:r w:rsidR="004974D0">
        <w:rPr>
          <w:rStyle w:val="zmsearchresult"/>
          <w:rFonts w:ascii="Times New Roman" w:hAnsi="Times New Roman" w:cs="Times New Roman"/>
          <w:bCs/>
          <w:sz w:val="24"/>
          <w:szCs w:val="24"/>
        </w:rPr>
        <w:t xml:space="preserve">s of the Reserve Bank of India. </w:t>
      </w:r>
      <w:r w:rsidR="007B2FDC">
        <w:rPr>
          <w:rStyle w:val="zmsearchresult"/>
          <w:rFonts w:ascii="Times New Roman" w:hAnsi="Times New Roman" w:cs="Times New Roman"/>
          <w:bCs/>
          <w:sz w:val="24"/>
          <w:szCs w:val="24"/>
        </w:rPr>
        <w:t xml:space="preserve">No accounts </w:t>
      </w:r>
      <w:r w:rsidR="007B26F2">
        <w:rPr>
          <w:rStyle w:val="zmsearchresult"/>
          <w:rFonts w:ascii="Times New Roman" w:hAnsi="Times New Roman" w:cs="Times New Roman"/>
          <w:bCs/>
          <w:sz w:val="24"/>
          <w:szCs w:val="24"/>
        </w:rPr>
        <w:t xml:space="preserve">have </w:t>
      </w:r>
      <w:r w:rsidR="007B2FDC">
        <w:rPr>
          <w:rStyle w:val="zmsearchresult"/>
          <w:rFonts w:ascii="Times New Roman" w:hAnsi="Times New Roman" w:cs="Times New Roman"/>
          <w:bCs/>
          <w:sz w:val="24"/>
          <w:szCs w:val="24"/>
        </w:rPr>
        <w:t>been excluded at the end of the year</w:t>
      </w:r>
      <w:r w:rsidR="004974D0">
        <w:rPr>
          <w:rStyle w:val="zmsearchresult"/>
          <w:rFonts w:ascii="Times New Roman" w:hAnsi="Times New Roman" w:cs="Times New Roman"/>
          <w:bCs/>
          <w:sz w:val="24"/>
          <w:szCs w:val="24"/>
        </w:rPr>
        <w:t>.</w:t>
      </w:r>
      <w:r w:rsidRPr="00EF153E">
        <w:rPr>
          <w:rStyle w:val="zmsearchresult"/>
          <w:rFonts w:ascii="Times New Roman" w:hAnsi="Times New Roman" w:cs="Times New Roman"/>
          <w:bCs/>
          <w:sz w:val="24"/>
          <w:szCs w:val="24"/>
        </w:rPr>
        <w:t xml:space="preserve"> </w:t>
      </w:r>
    </w:p>
    <w:p w14:paraId="16B5AE4F" w14:textId="77777777" w:rsidR="00886726" w:rsidRPr="00EF153E" w:rsidRDefault="00886726" w:rsidP="00B90901">
      <w:pPr>
        <w:pStyle w:val="ListParagraph"/>
        <w:widowControl w:val="0"/>
        <w:numPr>
          <w:ilvl w:val="0"/>
          <w:numId w:val="16"/>
        </w:numPr>
        <w:autoSpaceDE w:val="0"/>
        <w:autoSpaceDN w:val="0"/>
        <w:adjustRightInd w:val="0"/>
        <w:spacing w:before="240" w:after="240" w:line="240" w:lineRule="auto"/>
        <w:contextualSpacing w:val="0"/>
        <w:jc w:val="both"/>
        <w:rPr>
          <w:rStyle w:val="zmsearchresult"/>
          <w:rFonts w:ascii="Times New Roman" w:hAnsi="Times New Roman" w:cs="Times New Roman"/>
          <w:b/>
          <w:sz w:val="24"/>
          <w:szCs w:val="24"/>
        </w:rPr>
      </w:pPr>
      <w:r w:rsidRPr="00EF153E">
        <w:rPr>
          <w:rStyle w:val="zmsearchresult"/>
          <w:rFonts w:ascii="Times New Roman" w:hAnsi="Times New Roman" w:cs="Times New Roman"/>
          <w:b/>
          <w:sz w:val="24"/>
          <w:szCs w:val="24"/>
        </w:rPr>
        <w:t>Reporting Period</w:t>
      </w:r>
      <w:r w:rsidR="00E41168" w:rsidRPr="00EF153E">
        <w:rPr>
          <w:rStyle w:val="zmsearchresult"/>
          <w:rFonts w:ascii="Times New Roman" w:hAnsi="Times New Roman" w:cs="Times New Roman"/>
          <w:b/>
          <w:sz w:val="24"/>
          <w:szCs w:val="24"/>
        </w:rPr>
        <w:t>:</w:t>
      </w:r>
    </w:p>
    <w:p w14:paraId="52ECD8AD" w14:textId="77777777" w:rsidR="00886726" w:rsidRPr="00EF153E" w:rsidRDefault="00886726"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The reporting period of these accounts is 1 April 20</w:t>
      </w:r>
      <w:r w:rsidR="004974D0">
        <w:rPr>
          <w:rStyle w:val="zmsearchresult"/>
          <w:rFonts w:ascii="Times New Roman" w:hAnsi="Times New Roman" w:cs="Times New Roman"/>
          <w:bCs/>
          <w:sz w:val="24"/>
          <w:szCs w:val="24"/>
        </w:rPr>
        <w:t>2</w:t>
      </w:r>
      <w:r w:rsidR="006173EB" w:rsidRPr="00EF153E">
        <w:rPr>
          <w:rStyle w:val="zmsearchresult"/>
          <w:rFonts w:ascii="Times New Roman" w:hAnsi="Times New Roman" w:cs="Times New Roman"/>
          <w:bCs/>
          <w:sz w:val="24"/>
          <w:szCs w:val="24"/>
        </w:rPr>
        <w:t>2 to 31 March 202</w:t>
      </w:r>
      <w:r w:rsidR="0096373D">
        <w:rPr>
          <w:rStyle w:val="zmsearchresult"/>
          <w:rFonts w:ascii="Times New Roman" w:hAnsi="Times New Roman" w:cs="Times New Roman"/>
          <w:bCs/>
          <w:sz w:val="24"/>
          <w:szCs w:val="24"/>
        </w:rPr>
        <w:t>3</w:t>
      </w:r>
      <w:r w:rsidR="006173EB" w:rsidRPr="00EF153E">
        <w:rPr>
          <w:rStyle w:val="zmsearchresult"/>
          <w:rFonts w:ascii="Times New Roman" w:hAnsi="Times New Roman" w:cs="Times New Roman"/>
          <w:bCs/>
          <w:sz w:val="24"/>
          <w:szCs w:val="24"/>
        </w:rPr>
        <w:t>.</w:t>
      </w:r>
    </w:p>
    <w:p w14:paraId="634145BA" w14:textId="77777777" w:rsidR="00886726" w:rsidRPr="00EF153E" w:rsidRDefault="00886726" w:rsidP="00B90901">
      <w:pPr>
        <w:pStyle w:val="ListParagraph"/>
        <w:widowControl w:val="0"/>
        <w:numPr>
          <w:ilvl w:val="0"/>
          <w:numId w:val="16"/>
        </w:numPr>
        <w:autoSpaceDE w:val="0"/>
        <w:autoSpaceDN w:val="0"/>
        <w:adjustRightInd w:val="0"/>
        <w:spacing w:before="240" w:after="240" w:line="240" w:lineRule="auto"/>
        <w:contextualSpacing w:val="0"/>
        <w:jc w:val="both"/>
        <w:rPr>
          <w:rStyle w:val="zmsearchresult"/>
          <w:rFonts w:ascii="Times New Roman" w:hAnsi="Times New Roman" w:cs="Times New Roman"/>
          <w:b/>
          <w:sz w:val="24"/>
          <w:szCs w:val="24"/>
        </w:rPr>
      </w:pPr>
      <w:r w:rsidRPr="00EF153E">
        <w:rPr>
          <w:rStyle w:val="zmsearchresult"/>
          <w:rFonts w:ascii="Times New Roman" w:hAnsi="Times New Roman" w:cs="Times New Roman"/>
          <w:b/>
          <w:sz w:val="24"/>
          <w:szCs w:val="24"/>
        </w:rPr>
        <w:t>Reporting Currency:</w:t>
      </w:r>
    </w:p>
    <w:p w14:paraId="5A1CEB74" w14:textId="77777777" w:rsidR="00886726" w:rsidRPr="00EF153E" w:rsidRDefault="00886726"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 xml:space="preserve">The accounts of the Government of </w:t>
      </w:r>
      <w:r w:rsidR="006173EB" w:rsidRPr="00EF153E">
        <w:rPr>
          <w:rStyle w:val="zmsearchresult"/>
          <w:rFonts w:ascii="Times New Roman" w:hAnsi="Times New Roman" w:cs="Times New Roman"/>
          <w:bCs/>
          <w:sz w:val="24"/>
          <w:szCs w:val="24"/>
        </w:rPr>
        <w:t>Manipur</w:t>
      </w:r>
      <w:r w:rsidRPr="00EF153E">
        <w:rPr>
          <w:rStyle w:val="zmsearchresult"/>
          <w:rFonts w:ascii="Times New Roman" w:hAnsi="Times New Roman" w:cs="Times New Roman"/>
          <w:bCs/>
          <w:sz w:val="24"/>
          <w:szCs w:val="24"/>
        </w:rPr>
        <w:t xml:space="preserve"> </w:t>
      </w:r>
      <w:r w:rsidR="004D33C7" w:rsidRPr="00EF153E">
        <w:rPr>
          <w:rStyle w:val="zmsearchresult"/>
          <w:rFonts w:ascii="Times New Roman" w:hAnsi="Times New Roman" w:cs="Times New Roman"/>
          <w:bCs/>
          <w:sz w:val="24"/>
          <w:szCs w:val="24"/>
        </w:rPr>
        <w:t>are reported in Indian Rupees (₹</w:t>
      </w:r>
      <w:r w:rsidRPr="00EF153E">
        <w:rPr>
          <w:rStyle w:val="zmsearchresult"/>
          <w:rFonts w:ascii="Times New Roman" w:hAnsi="Times New Roman" w:cs="Times New Roman"/>
          <w:bCs/>
          <w:sz w:val="24"/>
          <w:szCs w:val="24"/>
        </w:rPr>
        <w:t xml:space="preserve">). </w:t>
      </w:r>
    </w:p>
    <w:p w14:paraId="228196C9" w14:textId="77777777" w:rsidR="00F64BCD" w:rsidRPr="00EF153E" w:rsidRDefault="00F64BCD" w:rsidP="00B90901">
      <w:pPr>
        <w:pStyle w:val="ListParagraph"/>
        <w:widowControl w:val="0"/>
        <w:numPr>
          <w:ilvl w:val="0"/>
          <w:numId w:val="16"/>
        </w:numPr>
        <w:autoSpaceDE w:val="0"/>
        <w:autoSpaceDN w:val="0"/>
        <w:adjustRightInd w:val="0"/>
        <w:spacing w:before="240" w:after="240" w:line="240" w:lineRule="auto"/>
        <w:contextualSpacing w:val="0"/>
        <w:jc w:val="both"/>
        <w:rPr>
          <w:rStyle w:val="zmsearchresult"/>
          <w:rFonts w:ascii="Times New Roman" w:hAnsi="Times New Roman" w:cs="Times New Roman"/>
          <w:b/>
          <w:sz w:val="24"/>
          <w:szCs w:val="24"/>
        </w:rPr>
      </w:pPr>
      <w:r w:rsidRPr="00EF153E">
        <w:rPr>
          <w:rStyle w:val="zmsearchresult"/>
          <w:rFonts w:ascii="Times New Roman" w:hAnsi="Times New Roman" w:cs="Times New Roman"/>
          <w:b/>
          <w:sz w:val="24"/>
          <w:szCs w:val="24"/>
        </w:rPr>
        <w:t>Form of Accounts:</w:t>
      </w:r>
    </w:p>
    <w:p w14:paraId="60826819" w14:textId="77777777" w:rsidR="00F64BCD" w:rsidRPr="00EF153E" w:rsidRDefault="00F64BCD"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Under Article 150 of the Constitution of India, the accounts of the Union and of the States are kept in such form as the President may, on the advice of the Comptroller and Auditor General</w:t>
      </w:r>
      <w:r w:rsidR="00C51B69" w:rsidRPr="00EF153E">
        <w:rPr>
          <w:rStyle w:val="zmsearchresult"/>
          <w:rFonts w:ascii="Times New Roman" w:hAnsi="Times New Roman" w:cs="Times New Roman"/>
          <w:bCs/>
          <w:sz w:val="24"/>
          <w:szCs w:val="24"/>
        </w:rPr>
        <w:t xml:space="preserve"> of India</w:t>
      </w:r>
      <w:r w:rsidRPr="00EF153E">
        <w:rPr>
          <w:rStyle w:val="zmsearchresult"/>
          <w:rFonts w:ascii="Times New Roman" w:hAnsi="Times New Roman" w:cs="Times New Roman"/>
          <w:bCs/>
          <w:sz w:val="24"/>
          <w:szCs w:val="24"/>
        </w:rPr>
        <w:t>, prescribe. The word "form" used in Article 150 has a comprehensive meaning so as to include the prescription not only of the broad form in which the accounts are to be kept but also the basis for selecting appropriate heads of accounts under which the transactions are to be classified, which forms the chart of accounts.</w:t>
      </w:r>
    </w:p>
    <w:p w14:paraId="05E06113" w14:textId="77777777" w:rsidR="00886726" w:rsidRPr="00EF153E" w:rsidRDefault="00886726" w:rsidP="00B90901">
      <w:pPr>
        <w:pStyle w:val="ListParagraph"/>
        <w:widowControl w:val="0"/>
        <w:numPr>
          <w:ilvl w:val="0"/>
          <w:numId w:val="16"/>
        </w:numPr>
        <w:autoSpaceDE w:val="0"/>
        <w:autoSpaceDN w:val="0"/>
        <w:adjustRightInd w:val="0"/>
        <w:spacing w:before="240" w:after="240" w:line="240" w:lineRule="auto"/>
        <w:contextualSpacing w:val="0"/>
        <w:jc w:val="both"/>
        <w:rPr>
          <w:rStyle w:val="zmsearchresult"/>
          <w:rFonts w:ascii="Times New Roman" w:hAnsi="Times New Roman" w:cs="Times New Roman"/>
          <w:b/>
          <w:sz w:val="24"/>
          <w:szCs w:val="24"/>
        </w:rPr>
      </w:pPr>
      <w:r w:rsidRPr="00EF153E">
        <w:rPr>
          <w:rStyle w:val="zmsearchresult"/>
          <w:rFonts w:ascii="Times New Roman" w:hAnsi="Times New Roman" w:cs="Times New Roman"/>
          <w:b/>
          <w:sz w:val="24"/>
          <w:szCs w:val="24"/>
        </w:rPr>
        <w:t xml:space="preserve">Basis of Budget and Financial Reporting: </w:t>
      </w:r>
    </w:p>
    <w:p w14:paraId="0BF8CF27" w14:textId="77777777" w:rsidR="00F64BCD" w:rsidRPr="00EF153E" w:rsidRDefault="00886726"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 xml:space="preserve">As per the provisions of Article 202 of the Constitution of India, a statement of estimated receipts and expenditure, the Annual Financial Statements (called Budget) for a financial year is presented to </w:t>
      </w:r>
      <w:r w:rsidR="00D54202" w:rsidRPr="00EF153E">
        <w:rPr>
          <w:rStyle w:val="zmsearchresult"/>
          <w:rFonts w:ascii="Times New Roman" w:hAnsi="Times New Roman" w:cs="Times New Roman"/>
          <w:bCs/>
          <w:sz w:val="24"/>
          <w:szCs w:val="24"/>
        </w:rPr>
        <w:t xml:space="preserve">the </w:t>
      </w:r>
      <w:r w:rsidRPr="00EF153E">
        <w:rPr>
          <w:rStyle w:val="zmsearchresult"/>
          <w:rFonts w:ascii="Times New Roman" w:hAnsi="Times New Roman" w:cs="Times New Roman"/>
          <w:bCs/>
          <w:sz w:val="24"/>
          <w:szCs w:val="24"/>
        </w:rPr>
        <w:t xml:space="preserve">legislature </w:t>
      </w:r>
      <w:r w:rsidR="001834F6" w:rsidRPr="00EF153E">
        <w:rPr>
          <w:rStyle w:val="zmsearchresult"/>
          <w:rFonts w:ascii="Times New Roman" w:hAnsi="Times New Roman" w:cs="Times New Roman"/>
          <w:bCs/>
          <w:sz w:val="24"/>
          <w:szCs w:val="24"/>
        </w:rPr>
        <w:t xml:space="preserve">in form of </w:t>
      </w:r>
      <w:r w:rsidRPr="00EF153E">
        <w:rPr>
          <w:rStyle w:val="zmsearchresult"/>
          <w:rFonts w:ascii="Times New Roman" w:hAnsi="Times New Roman" w:cs="Times New Roman"/>
          <w:bCs/>
          <w:sz w:val="24"/>
          <w:szCs w:val="24"/>
        </w:rPr>
        <w:t xml:space="preserve">grants / appropriations before the commencement of the financial year. Budget is presented on gross basis without the recoveries and receipts which are otherwise permitted to be set off in reduction of expenditure. All grants / appropriations relating to heads of budget and accounts, whose balances are not carried forward, lapse at the end of </w:t>
      </w:r>
      <w:r w:rsidR="00B24D6C" w:rsidRPr="00EF153E">
        <w:rPr>
          <w:rStyle w:val="zmsearchresult"/>
          <w:rFonts w:ascii="Times New Roman" w:hAnsi="Times New Roman" w:cs="Times New Roman"/>
          <w:bCs/>
          <w:sz w:val="24"/>
          <w:szCs w:val="24"/>
        </w:rPr>
        <w:t xml:space="preserve">the </w:t>
      </w:r>
      <w:r w:rsidRPr="00EF153E">
        <w:rPr>
          <w:rStyle w:val="zmsearchresult"/>
          <w:rFonts w:ascii="Times New Roman" w:hAnsi="Times New Roman" w:cs="Times New Roman"/>
          <w:bCs/>
          <w:sz w:val="24"/>
          <w:szCs w:val="24"/>
        </w:rPr>
        <w:t xml:space="preserve">financial year. </w:t>
      </w:r>
    </w:p>
    <w:p w14:paraId="632FB5F3" w14:textId="5E4B75AD" w:rsidR="00F64BCD" w:rsidRDefault="00F64BCD" w:rsidP="00B90901">
      <w:pPr>
        <w:widowControl w:val="0"/>
        <w:autoSpaceDE w:val="0"/>
        <w:autoSpaceDN w:val="0"/>
        <w:adjustRightInd w:val="0"/>
        <w:spacing w:before="24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
          <w:sz w:val="24"/>
          <w:szCs w:val="24"/>
        </w:rPr>
        <w:t>Budget and Accounts:</w:t>
      </w:r>
      <w:r w:rsidRPr="00EF153E">
        <w:rPr>
          <w:rStyle w:val="zmsearchresult"/>
          <w:rFonts w:ascii="Times New Roman" w:hAnsi="Times New Roman" w:cs="Times New Roman"/>
          <w:bCs/>
          <w:sz w:val="24"/>
          <w:szCs w:val="24"/>
        </w:rPr>
        <w:t xml:space="preserve"> Both budget and accounts of the State fo</w:t>
      </w:r>
      <w:r w:rsidR="00CA7253" w:rsidRPr="00EF153E">
        <w:rPr>
          <w:rStyle w:val="zmsearchresult"/>
          <w:rFonts w:ascii="Times New Roman" w:hAnsi="Times New Roman" w:cs="Times New Roman"/>
          <w:bCs/>
          <w:sz w:val="24"/>
          <w:szCs w:val="24"/>
        </w:rPr>
        <w:t xml:space="preserve">llow the same accounting period, </w:t>
      </w:r>
      <w:r w:rsidRPr="00EF153E">
        <w:rPr>
          <w:rStyle w:val="zmsearchresult"/>
          <w:rFonts w:ascii="Times New Roman" w:hAnsi="Times New Roman" w:cs="Times New Roman"/>
          <w:bCs/>
          <w:sz w:val="24"/>
          <w:szCs w:val="24"/>
        </w:rPr>
        <w:t xml:space="preserve">cash basis of accounting </w:t>
      </w:r>
      <w:r w:rsidR="00CA7253" w:rsidRPr="00EF153E">
        <w:rPr>
          <w:rStyle w:val="zmsearchresult"/>
          <w:rFonts w:ascii="Times New Roman" w:hAnsi="Times New Roman" w:cs="Times New Roman"/>
          <w:bCs/>
          <w:sz w:val="24"/>
          <w:szCs w:val="24"/>
        </w:rPr>
        <w:t>and</w:t>
      </w:r>
      <w:r w:rsidRPr="00EF153E">
        <w:rPr>
          <w:rStyle w:val="zmsearchresult"/>
          <w:rFonts w:ascii="Times New Roman" w:hAnsi="Times New Roman" w:cs="Times New Roman"/>
          <w:bCs/>
          <w:sz w:val="24"/>
          <w:szCs w:val="24"/>
        </w:rPr>
        <w:t xml:space="preserve"> uniform basis of classification</w:t>
      </w:r>
      <w:r w:rsidR="00CA7253" w:rsidRPr="00EF153E">
        <w:rPr>
          <w:rStyle w:val="zmsearchresult"/>
          <w:rFonts w:ascii="Times New Roman" w:hAnsi="Times New Roman" w:cs="Times New Roman"/>
          <w:bCs/>
          <w:sz w:val="24"/>
          <w:szCs w:val="24"/>
        </w:rPr>
        <w:t>. The accounts are classified</w:t>
      </w:r>
      <w:r w:rsidRPr="00EF153E">
        <w:rPr>
          <w:rStyle w:val="zmsearchresult"/>
          <w:rFonts w:ascii="Times New Roman" w:hAnsi="Times New Roman" w:cs="Times New Roman"/>
          <w:bCs/>
          <w:sz w:val="24"/>
          <w:szCs w:val="24"/>
        </w:rPr>
        <w:t xml:space="preserve"> as per the List of Major and Minor Heads to the level of Minor Heads </w:t>
      </w:r>
      <w:r w:rsidR="00CA7253" w:rsidRPr="00EF153E">
        <w:rPr>
          <w:rStyle w:val="zmsearchresult"/>
          <w:rFonts w:ascii="Times New Roman" w:hAnsi="Times New Roman" w:cs="Times New Roman"/>
          <w:bCs/>
          <w:sz w:val="24"/>
          <w:szCs w:val="24"/>
        </w:rPr>
        <w:t xml:space="preserve">as notified by the Controller General of Accounts in consultation with the </w:t>
      </w:r>
      <w:r w:rsidR="00CA7253" w:rsidRPr="00EF153E">
        <w:rPr>
          <w:rStyle w:val="zmsearchresult"/>
          <w:rFonts w:ascii="Times New Roman" w:hAnsi="Times New Roman" w:cs="Times New Roman"/>
          <w:bCs/>
          <w:sz w:val="24"/>
          <w:szCs w:val="24"/>
        </w:rPr>
        <w:lastRenderedPageBreak/>
        <w:t xml:space="preserve">Comptroller </w:t>
      </w:r>
      <w:r w:rsidR="00153688">
        <w:rPr>
          <w:rStyle w:val="zmsearchresult"/>
          <w:rFonts w:ascii="Times New Roman" w:hAnsi="Times New Roman" w:cs="Times New Roman"/>
          <w:bCs/>
          <w:sz w:val="24"/>
          <w:szCs w:val="24"/>
        </w:rPr>
        <w:t>and</w:t>
      </w:r>
      <w:r w:rsidR="00CA7253" w:rsidRPr="00EF153E">
        <w:rPr>
          <w:rStyle w:val="zmsearchresult"/>
          <w:rFonts w:ascii="Times New Roman" w:hAnsi="Times New Roman" w:cs="Times New Roman"/>
          <w:bCs/>
          <w:sz w:val="24"/>
          <w:szCs w:val="24"/>
        </w:rPr>
        <w:t xml:space="preserve"> Auditor General of India. C</w:t>
      </w:r>
      <w:r w:rsidRPr="00EF153E">
        <w:rPr>
          <w:rStyle w:val="zmsearchresult"/>
          <w:rFonts w:ascii="Times New Roman" w:hAnsi="Times New Roman" w:cs="Times New Roman"/>
          <w:bCs/>
          <w:sz w:val="24"/>
          <w:szCs w:val="24"/>
        </w:rPr>
        <w:t xml:space="preserve">lassification </w:t>
      </w:r>
      <w:r w:rsidR="00CA7253" w:rsidRPr="00EF153E">
        <w:rPr>
          <w:rStyle w:val="zmsearchresult"/>
          <w:rFonts w:ascii="Times New Roman" w:hAnsi="Times New Roman" w:cs="Times New Roman"/>
          <w:bCs/>
          <w:sz w:val="24"/>
          <w:szCs w:val="24"/>
        </w:rPr>
        <w:t xml:space="preserve">followed </w:t>
      </w:r>
      <w:r w:rsidRPr="00EF153E">
        <w:rPr>
          <w:rStyle w:val="zmsearchresult"/>
          <w:rFonts w:ascii="Times New Roman" w:hAnsi="Times New Roman" w:cs="Times New Roman"/>
          <w:bCs/>
          <w:sz w:val="24"/>
          <w:szCs w:val="24"/>
        </w:rPr>
        <w:t>below Minor Heads</w:t>
      </w:r>
      <w:r w:rsidR="00CA7253" w:rsidRPr="00EF153E">
        <w:rPr>
          <w:rStyle w:val="zmsearchresult"/>
          <w:rFonts w:ascii="Times New Roman" w:hAnsi="Times New Roman" w:cs="Times New Roman"/>
          <w:bCs/>
          <w:sz w:val="24"/>
          <w:szCs w:val="24"/>
        </w:rPr>
        <w:t xml:space="preserve"> is</w:t>
      </w:r>
      <w:r w:rsidRPr="00EF153E">
        <w:rPr>
          <w:rStyle w:val="zmsearchresult"/>
          <w:rFonts w:ascii="Times New Roman" w:hAnsi="Times New Roman" w:cs="Times New Roman"/>
          <w:bCs/>
          <w:sz w:val="24"/>
          <w:szCs w:val="24"/>
        </w:rPr>
        <w:t xml:space="preserve"> as agreed to by the Office of the Accountant General (Accounts and Entitlements)</w:t>
      </w:r>
      <w:r w:rsidR="00CA7253" w:rsidRPr="00EF153E">
        <w:rPr>
          <w:rStyle w:val="zmsearchresult"/>
          <w:rFonts w:ascii="Times New Roman" w:hAnsi="Times New Roman" w:cs="Times New Roman"/>
          <w:bCs/>
          <w:sz w:val="24"/>
          <w:szCs w:val="24"/>
        </w:rPr>
        <w:t xml:space="preserve"> in each state.</w:t>
      </w:r>
    </w:p>
    <w:p w14:paraId="3864209E" w14:textId="77777777" w:rsidR="00F64BCD" w:rsidRPr="00EF153E" w:rsidRDefault="00F64BCD" w:rsidP="00B90901">
      <w:pPr>
        <w:widowControl w:val="0"/>
        <w:autoSpaceDE w:val="0"/>
        <w:autoSpaceDN w:val="0"/>
        <w:adjustRightInd w:val="0"/>
        <w:spacing w:before="240" w:after="24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A separate budget comparison statement is presented as Appropriation Accounts, which represent actual disbursements in comparison to the grants / appropriations.</w:t>
      </w:r>
    </w:p>
    <w:p w14:paraId="7444121B" w14:textId="77777777" w:rsidR="00F64BCD" w:rsidRPr="00EF153E" w:rsidRDefault="00886726" w:rsidP="00B90901">
      <w:pPr>
        <w:widowControl w:val="0"/>
        <w:autoSpaceDE w:val="0"/>
        <w:autoSpaceDN w:val="0"/>
        <w:adjustRightInd w:val="0"/>
        <w:spacing w:before="240" w:after="24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
          <w:sz w:val="24"/>
          <w:szCs w:val="24"/>
        </w:rPr>
        <w:t>Cash basis:</w:t>
      </w:r>
      <w:r w:rsidR="00AE5FA9" w:rsidRPr="00EF153E">
        <w:rPr>
          <w:rStyle w:val="zmsearchresult"/>
          <w:rFonts w:ascii="Times New Roman" w:hAnsi="Times New Roman" w:cs="Times New Roman"/>
          <w:b/>
          <w:sz w:val="24"/>
          <w:szCs w:val="24"/>
        </w:rPr>
        <w:t xml:space="preserve"> </w:t>
      </w:r>
      <w:r w:rsidR="00D35A8F" w:rsidRPr="00EF153E">
        <w:rPr>
          <w:rStyle w:val="zmsearchresult"/>
          <w:rFonts w:ascii="Times New Roman" w:hAnsi="Times New Roman" w:cs="Times New Roman"/>
          <w:bCs/>
          <w:sz w:val="24"/>
          <w:szCs w:val="24"/>
        </w:rPr>
        <w:t>The accounts represent the actual cash receipts and disbursements during the reporting period w</w:t>
      </w:r>
      <w:r w:rsidRPr="00EF153E">
        <w:rPr>
          <w:rStyle w:val="zmsearchresult"/>
          <w:rFonts w:ascii="Times New Roman" w:hAnsi="Times New Roman" w:cs="Times New Roman"/>
          <w:bCs/>
          <w:sz w:val="24"/>
          <w:szCs w:val="24"/>
        </w:rPr>
        <w:t xml:space="preserve">ith the exception of such book adjustments which are authorised. Receipts and disbursements in the Finance Accounts are on net basis; net of recoveries, deductions and refunds. </w:t>
      </w:r>
    </w:p>
    <w:p w14:paraId="7277854D" w14:textId="77777777" w:rsidR="00F64BCD" w:rsidRPr="00EF153E" w:rsidRDefault="00F64BCD" w:rsidP="00B90901">
      <w:pPr>
        <w:widowControl w:val="0"/>
        <w:autoSpaceDE w:val="0"/>
        <w:autoSpaceDN w:val="0"/>
        <w:adjustRightInd w:val="0"/>
        <w:spacing w:before="240" w:after="24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
          <w:sz w:val="24"/>
          <w:szCs w:val="24"/>
        </w:rPr>
        <w:t xml:space="preserve">Book Adjustments: </w:t>
      </w:r>
      <w:r w:rsidRPr="00EF153E">
        <w:rPr>
          <w:rStyle w:val="zmsearchresult"/>
          <w:rFonts w:ascii="Times New Roman" w:hAnsi="Times New Roman" w:cs="Times New Roman"/>
          <w:bCs/>
          <w:sz w:val="24"/>
          <w:szCs w:val="24"/>
        </w:rPr>
        <w:t>Book adjustments are non-cash transactions that appear in the accounts as adjustments / settlements. Some of these transactions take place at the level of the account rendering units,</w:t>
      </w:r>
      <w:r w:rsidR="00AE5FA9" w:rsidRPr="00EF153E">
        <w:rPr>
          <w:rStyle w:val="zmsearchresult"/>
          <w:rFonts w:ascii="Times New Roman" w:hAnsi="Times New Roman" w:cs="Times New Roman"/>
          <w:bCs/>
          <w:sz w:val="24"/>
          <w:szCs w:val="24"/>
        </w:rPr>
        <w:t xml:space="preserve"> </w:t>
      </w:r>
      <w:r w:rsidRPr="00EF153E">
        <w:rPr>
          <w:rStyle w:val="zmsearchresult"/>
          <w:rFonts w:ascii="Times New Roman" w:hAnsi="Times New Roman" w:cs="Times New Roman"/>
          <w:bCs/>
          <w:i/>
          <w:iCs/>
          <w:sz w:val="24"/>
          <w:szCs w:val="24"/>
        </w:rPr>
        <w:t>e.g.</w:t>
      </w:r>
      <w:r w:rsidRPr="00EF153E">
        <w:rPr>
          <w:rStyle w:val="zmsearchresult"/>
          <w:rFonts w:ascii="Times New Roman" w:hAnsi="Times New Roman" w:cs="Times New Roman"/>
          <w:bCs/>
          <w:sz w:val="24"/>
          <w:szCs w:val="24"/>
        </w:rPr>
        <w:t>, treasuries, divisions,</w:t>
      </w:r>
      <w:r w:rsidR="00AE5FA9" w:rsidRPr="00EF153E">
        <w:rPr>
          <w:rStyle w:val="zmsearchresult"/>
          <w:rFonts w:ascii="Times New Roman" w:hAnsi="Times New Roman" w:cs="Times New Roman"/>
          <w:bCs/>
          <w:sz w:val="24"/>
          <w:szCs w:val="24"/>
        </w:rPr>
        <w:t xml:space="preserve"> </w:t>
      </w:r>
      <w:r w:rsidRPr="00EF153E">
        <w:rPr>
          <w:rStyle w:val="zmsearchresult"/>
          <w:rFonts w:ascii="Times New Roman" w:hAnsi="Times New Roman" w:cs="Times New Roman"/>
          <w:bCs/>
          <w:i/>
          <w:iCs/>
          <w:sz w:val="24"/>
          <w:szCs w:val="24"/>
        </w:rPr>
        <w:t>etc</w:t>
      </w:r>
      <w:r w:rsidRPr="00EF153E">
        <w:rPr>
          <w:rStyle w:val="zmsearchresult"/>
          <w:rFonts w:ascii="Times New Roman" w:hAnsi="Times New Roman" w:cs="Times New Roman"/>
          <w:bCs/>
          <w:sz w:val="24"/>
          <w:szCs w:val="24"/>
        </w:rPr>
        <w:t xml:space="preserve">., for adjustments of deductions and recoveries from salaries to Revenue Receipts/Loans/Public Account, 'nil' bills for transfer of moneys between the Consolidated Fund and Public Account, </w:t>
      </w:r>
      <w:r w:rsidRPr="00EF153E">
        <w:rPr>
          <w:rStyle w:val="zmsearchresult"/>
          <w:rFonts w:ascii="Times New Roman" w:hAnsi="Times New Roman" w:cs="Times New Roman"/>
          <w:bCs/>
          <w:i/>
          <w:iCs/>
          <w:sz w:val="24"/>
          <w:szCs w:val="24"/>
        </w:rPr>
        <w:t>etc</w:t>
      </w:r>
      <w:r w:rsidRPr="00EF153E">
        <w:rPr>
          <w:rStyle w:val="zmsearchresult"/>
          <w:rFonts w:ascii="Times New Roman" w:hAnsi="Times New Roman" w:cs="Times New Roman"/>
          <w:bCs/>
          <w:sz w:val="24"/>
          <w:szCs w:val="24"/>
        </w:rPr>
        <w:t>.</w:t>
      </w:r>
    </w:p>
    <w:p w14:paraId="6E41BF99" w14:textId="33ACB54D" w:rsidR="00F64BCD" w:rsidRPr="00EF153E" w:rsidRDefault="00F64BCD" w:rsidP="00B90901">
      <w:pPr>
        <w:widowControl w:val="0"/>
        <w:autoSpaceDE w:val="0"/>
        <w:autoSpaceDN w:val="0"/>
        <w:adjustRightInd w:val="0"/>
        <w:spacing w:before="240" w:after="24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Book adjustments are also carried out at Office of the Accountant General (A&amp;E). These, amongst others, include booking for creation of and contribution to funds in Public Account by debit to Consolidated Fund (</w:t>
      </w:r>
      <w:r w:rsidRPr="00EF153E">
        <w:rPr>
          <w:rStyle w:val="zmsearchresult"/>
          <w:rFonts w:ascii="Times New Roman" w:hAnsi="Times New Roman" w:cs="Times New Roman"/>
          <w:bCs/>
          <w:i/>
          <w:iCs/>
          <w:sz w:val="24"/>
          <w:szCs w:val="24"/>
        </w:rPr>
        <w:t>e.g.</w:t>
      </w:r>
      <w:r w:rsidRPr="00EF153E">
        <w:rPr>
          <w:rStyle w:val="zmsearchresult"/>
          <w:rFonts w:ascii="Times New Roman" w:hAnsi="Times New Roman" w:cs="Times New Roman"/>
          <w:bCs/>
          <w:sz w:val="24"/>
          <w:szCs w:val="24"/>
        </w:rPr>
        <w:t xml:space="preserve">, State Disaster Response Fund, Central Road </w:t>
      </w:r>
      <w:r w:rsidR="00FA61BB">
        <w:rPr>
          <w:rStyle w:val="zmsearchresult"/>
          <w:rFonts w:ascii="Times New Roman" w:hAnsi="Times New Roman" w:cs="Times New Roman"/>
          <w:bCs/>
          <w:sz w:val="24"/>
          <w:szCs w:val="24"/>
        </w:rPr>
        <w:t xml:space="preserve">and Infrastructure </w:t>
      </w:r>
      <w:r w:rsidRPr="00EF153E">
        <w:rPr>
          <w:rStyle w:val="zmsearchresult"/>
          <w:rFonts w:ascii="Times New Roman" w:hAnsi="Times New Roman" w:cs="Times New Roman"/>
          <w:bCs/>
          <w:sz w:val="24"/>
          <w:szCs w:val="24"/>
        </w:rPr>
        <w:t>Fund, Sinking Fund,</w:t>
      </w:r>
      <w:r w:rsidR="006173EB" w:rsidRPr="00EF153E">
        <w:rPr>
          <w:rStyle w:val="zmsearchresult"/>
          <w:rFonts w:ascii="Times New Roman" w:hAnsi="Times New Roman" w:cs="Times New Roman"/>
          <w:bCs/>
          <w:sz w:val="24"/>
          <w:szCs w:val="24"/>
        </w:rPr>
        <w:t xml:space="preserve"> </w:t>
      </w:r>
      <w:r w:rsidRPr="00EF153E">
        <w:rPr>
          <w:rStyle w:val="zmsearchresult"/>
          <w:rFonts w:ascii="Times New Roman" w:hAnsi="Times New Roman" w:cs="Times New Roman"/>
          <w:bCs/>
          <w:i/>
          <w:iCs/>
          <w:sz w:val="24"/>
          <w:szCs w:val="24"/>
        </w:rPr>
        <w:t>etc.</w:t>
      </w:r>
      <w:r w:rsidR="00E40614" w:rsidRPr="00EF153E">
        <w:rPr>
          <w:rStyle w:val="zmsearchresult"/>
          <w:rFonts w:ascii="Times New Roman" w:hAnsi="Times New Roman" w:cs="Times New Roman"/>
          <w:bCs/>
          <w:sz w:val="24"/>
          <w:szCs w:val="24"/>
        </w:rPr>
        <w:t>)</w:t>
      </w:r>
      <w:r w:rsidRPr="00EF153E">
        <w:rPr>
          <w:rStyle w:val="zmsearchresult"/>
          <w:rFonts w:ascii="Times New Roman" w:hAnsi="Times New Roman" w:cs="Times New Roman"/>
          <w:bCs/>
          <w:sz w:val="24"/>
          <w:szCs w:val="24"/>
        </w:rPr>
        <w:t xml:space="preserve"> crediting deposit heads of accounts in Public Account by debiting Consolidated Fund; annual adjustment of interest on General Provident Fund and State Government Group Insurance Scheme by debiting Major Head 2049-Interest Payments and crediting relevant Major Heads in Public Account; adjusting Debt waiver under the scheme of Government of India based on the recommendations of the Central Finance Commissions, recoupment of Contingency Fund, </w:t>
      </w:r>
      <w:r w:rsidRPr="00EF153E">
        <w:rPr>
          <w:rStyle w:val="zmsearchresult"/>
          <w:rFonts w:ascii="Times New Roman" w:hAnsi="Times New Roman" w:cs="Times New Roman"/>
          <w:bCs/>
          <w:i/>
          <w:iCs/>
          <w:sz w:val="24"/>
          <w:szCs w:val="24"/>
        </w:rPr>
        <w:t>etc</w:t>
      </w:r>
      <w:r w:rsidRPr="00EF153E">
        <w:rPr>
          <w:rStyle w:val="zmsearchresult"/>
          <w:rFonts w:ascii="Times New Roman" w:hAnsi="Times New Roman" w:cs="Times New Roman"/>
          <w:bCs/>
          <w:sz w:val="24"/>
          <w:szCs w:val="24"/>
        </w:rPr>
        <w:t xml:space="preserve">. </w:t>
      </w:r>
    </w:p>
    <w:p w14:paraId="6B604EAF" w14:textId="77777777" w:rsidR="00955145" w:rsidRPr="00EF153E" w:rsidRDefault="00955145" w:rsidP="00B90901">
      <w:pPr>
        <w:widowControl w:val="0"/>
        <w:autoSpaceDE w:val="0"/>
        <w:autoSpaceDN w:val="0"/>
        <w:adjustRightInd w:val="0"/>
        <w:spacing w:before="240" w:after="24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
          <w:sz w:val="24"/>
          <w:szCs w:val="24"/>
        </w:rPr>
        <w:t xml:space="preserve">Classification between Capital and Revenue Expenditure: </w:t>
      </w:r>
      <w:r w:rsidRPr="00EF153E">
        <w:rPr>
          <w:rStyle w:val="zmsearchresult"/>
          <w:rFonts w:ascii="Times New Roman" w:hAnsi="Times New Roman" w:cs="Times New Roman"/>
          <w:bCs/>
          <w:sz w:val="24"/>
          <w:szCs w:val="24"/>
        </w:rPr>
        <w:t xml:space="preserve">Significant expenditure incurred with the object of acquiring tangible assets of a permanent nature </w:t>
      </w:r>
      <w:r w:rsidR="00BD04D5" w:rsidRPr="00EF153E">
        <w:rPr>
          <w:rStyle w:val="zmsearchresult"/>
          <w:rFonts w:ascii="Times New Roman" w:hAnsi="Times New Roman" w:cs="Times New Roman"/>
          <w:bCs/>
          <w:sz w:val="24"/>
          <w:szCs w:val="24"/>
        </w:rPr>
        <w:t>(for use in the</w:t>
      </w:r>
      <w:r w:rsidR="00AE5FA9" w:rsidRPr="00EF153E">
        <w:rPr>
          <w:rStyle w:val="zmsearchresult"/>
          <w:rFonts w:ascii="Times New Roman" w:hAnsi="Times New Roman" w:cs="Times New Roman"/>
          <w:bCs/>
          <w:sz w:val="24"/>
          <w:szCs w:val="24"/>
        </w:rPr>
        <w:t xml:space="preserve"> </w:t>
      </w:r>
      <w:r w:rsidR="00BD04D5" w:rsidRPr="00EF153E">
        <w:rPr>
          <w:rStyle w:val="zmsearchresult"/>
          <w:rFonts w:ascii="Times New Roman" w:hAnsi="Times New Roman" w:cs="Times New Roman"/>
          <w:bCs/>
          <w:sz w:val="24"/>
          <w:szCs w:val="24"/>
        </w:rPr>
        <w:t>organisation and not for sale in the</w:t>
      </w:r>
      <w:r w:rsidR="00AE5FA9" w:rsidRPr="00EF153E">
        <w:rPr>
          <w:rStyle w:val="zmsearchresult"/>
          <w:rFonts w:ascii="Times New Roman" w:hAnsi="Times New Roman" w:cs="Times New Roman"/>
          <w:bCs/>
          <w:sz w:val="24"/>
          <w:szCs w:val="24"/>
        </w:rPr>
        <w:t xml:space="preserve"> </w:t>
      </w:r>
      <w:r w:rsidR="00BD04D5" w:rsidRPr="00EF153E">
        <w:rPr>
          <w:rStyle w:val="zmsearchresult"/>
          <w:rFonts w:ascii="Times New Roman" w:hAnsi="Times New Roman" w:cs="Times New Roman"/>
          <w:bCs/>
          <w:sz w:val="24"/>
          <w:szCs w:val="24"/>
        </w:rPr>
        <w:t>ordinary course of business)</w:t>
      </w:r>
      <w:r w:rsidR="006173EB" w:rsidRPr="00EF153E">
        <w:rPr>
          <w:rStyle w:val="zmsearchresult"/>
          <w:rFonts w:ascii="Times New Roman" w:hAnsi="Times New Roman" w:cs="Times New Roman"/>
          <w:bCs/>
          <w:sz w:val="24"/>
          <w:szCs w:val="24"/>
        </w:rPr>
        <w:t xml:space="preserve"> </w:t>
      </w:r>
      <w:r w:rsidRPr="00EF153E">
        <w:rPr>
          <w:rStyle w:val="zmsearchresult"/>
          <w:rFonts w:ascii="Times New Roman" w:hAnsi="Times New Roman" w:cs="Times New Roman"/>
          <w:bCs/>
          <w:sz w:val="24"/>
          <w:szCs w:val="24"/>
        </w:rPr>
        <w:t>or enhancing the utility of existing assets, are broadly defined as Capital expenditure. Subsequent charges on maintenance, repair, upkeep and working expenses, which are required to maintain the assets in a running order as also all other expenses incurred for the day to day running of the organisation, including establishment and administrative expenses are classified as Revenue expenditure.</w:t>
      </w:r>
      <w:r w:rsidR="00AE5FA9" w:rsidRPr="00EF153E">
        <w:rPr>
          <w:rStyle w:val="zmsearchresult"/>
          <w:rFonts w:ascii="Times New Roman" w:hAnsi="Times New Roman" w:cs="Times New Roman"/>
          <w:bCs/>
          <w:sz w:val="24"/>
          <w:szCs w:val="24"/>
        </w:rPr>
        <w:t xml:space="preserve"> </w:t>
      </w:r>
      <w:r w:rsidR="00BD04D5" w:rsidRPr="00EF153E">
        <w:rPr>
          <w:rStyle w:val="zmsearchresult"/>
          <w:rFonts w:ascii="Times New Roman" w:hAnsi="Times New Roman" w:cs="Times New Roman"/>
          <w:bCs/>
          <w:sz w:val="24"/>
          <w:szCs w:val="24"/>
        </w:rPr>
        <w:t>Capital and Revenue</w:t>
      </w:r>
      <w:r w:rsidR="00AE5FA9" w:rsidRPr="00EF153E">
        <w:rPr>
          <w:rStyle w:val="zmsearchresult"/>
          <w:rFonts w:ascii="Times New Roman" w:hAnsi="Times New Roman" w:cs="Times New Roman"/>
          <w:bCs/>
          <w:sz w:val="24"/>
          <w:szCs w:val="24"/>
        </w:rPr>
        <w:t xml:space="preserve"> </w:t>
      </w:r>
      <w:r w:rsidR="00BD04D5" w:rsidRPr="00EF153E">
        <w:rPr>
          <w:rStyle w:val="zmsearchresult"/>
          <w:rFonts w:ascii="Times New Roman" w:hAnsi="Times New Roman" w:cs="Times New Roman"/>
          <w:bCs/>
          <w:sz w:val="24"/>
          <w:szCs w:val="24"/>
        </w:rPr>
        <w:t>expenditure are shown separately in</w:t>
      </w:r>
      <w:r w:rsidR="00AE5FA9" w:rsidRPr="00EF153E">
        <w:rPr>
          <w:rStyle w:val="zmsearchresult"/>
          <w:rFonts w:ascii="Times New Roman" w:hAnsi="Times New Roman" w:cs="Times New Roman"/>
          <w:bCs/>
          <w:sz w:val="24"/>
          <w:szCs w:val="24"/>
        </w:rPr>
        <w:t xml:space="preserve"> </w:t>
      </w:r>
      <w:r w:rsidR="00BD04D5" w:rsidRPr="00EF153E">
        <w:rPr>
          <w:rStyle w:val="zmsearchresult"/>
          <w:rFonts w:ascii="Times New Roman" w:hAnsi="Times New Roman" w:cs="Times New Roman"/>
          <w:bCs/>
          <w:sz w:val="24"/>
          <w:szCs w:val="24"/>
        </w:rPr>
        <w:t>the Accounts.</w:t>
      </w:r>
    </w:p>
    <w:p w14:paraId="68B78463" w14:textId="77777777" w:rsidR="00886726" w:rsidRPr="00EF153E" w:rsidRDefault="00886726"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
          <w:sz w:val="24"/>
          <w:szCs w:val="24"/>
        </w:rPr>
        <w:t>Physical and Financial Assets and Liabilities:</w:t>
      </w:r>
      <w:r w:rsidR="00AE5FA9" w:rsidRPr="00EF153E">
        <w:rPr>
          <w:rStyle w:val="zmsearchresult"/>
          <w:rFonts w:ascii="Times New Roman" w:hAnsi="Times New Roman" w:cs="Times New Roman"/>
          <w:b/>
          <w:sz w:val="24"/>
          <w:szCs w:val="24"/>
        </w:rPr>
        <w:t xml:space="preserve"> </w:t>
      </w:r>
      <w:r w:rsidRPr="00EF153E">
        <w:rPr>
          <w:rStyle w:val="zmsearchresult"/>
          <w:rFonts w:ascii="Times New Roman" w:hAnsi="Times New Roman" w:cs="Times New Roman"/>
          <w:bCs/>
          <w:sz w:val="24"/>
          <w:szCs w:val="24"/>
        </w:rPr>
        <w:t>Physical Assets and Financial Assets (such as</w:t>
      </w:r>
      <w:r w:rsidR="00051EBC" w:rsidRPr="00EF153E">
        <w:rPr>
          <w:rStyle w:val="zmsearchresult"/>
          <w:rFonts w:ascii="Times New Roman" w:hAnsi="Times New Roman" w:cs="Times New Roman"/>
          <w:bCs/>
          <w:sz w:val="24"/>
          <w:szCs w:val="24"/>
        </w:rPr>
        <w:t>,</w:t>
      </w:r>
      <w:r w:rsidRPr="00EF153E">
        <w:rPr>
          <w:rStyle w:val="zmsearchresult"/>
          <w:rFonts w:ascii="Times New Roman" w:hAnsi="Times New Roman" w:cs="Times New Roman"/>
          <w:bCs/>
          <w:sz w:val="24"/>
          <w:szCs w:val="24"/>
        </w:rPr>
        <w:t xml:space="preserve"> investments, loans and advances made by the Government, </w:t>
      </w:r>
      <w:r w:rsidRPr="00EF153E">
        <w:rPr>
          <w:rStyle w:val="zmsearchresult"/>
          <w:rFonts w:ascii="Times New Roman" w:hAnsi="Times New Roman" w:cs="Times New Roman"/>
          <w:bCs/>
          <w:i/>
          <w:iCs/>
          <w:sz w:val="24"/>
          <w:szCs w:val="24"/>
        </w:rPr>
        <w:t>etc.</w:t>
      </w:r>
      <w:r w:rsidRPr="00EF153E">
        <w:rPr>
          <w:rStyle w:val="zmsearchresult"/>
          <w:rFonts w:ascii="Times New Roman" w:hAnsi="Times New Roman" w:cs="Times New Roman"/>
          <w:bCs/>
          <w:sz w:val="24"/>
          <w:szCs w:val="24"/>
        </w:rPr>
        <w:t>), as well as Liabilities</w:t>
      </w:r>
      <w:r w:rsidR="00051EBC" w:rsidRPr="00EF153E">
        <w:rPr>
          <w:rStyle w:val="zmsearchresult"/>
          <w:rFonts w:ascii="Times New Roman" w:hAnsi="Times New Roman" w:cs="Times New Roman"/>
          <w:bCs/>
          <w:sz w:val="24"/>
          <w:szCs w:val="24"/>
        </w:rPr>
        <w:t>,</w:t>
      </w:r>
      <w:r w:rsidRPr="00EF153E">
        <w:rPr>
          <w:rStyle w:val="zmsearchresult"/>
          <w:rFonts w:ascii="Times New Roman" w:hAnsi="Times New Roman" w:cs="Times New Roman"/>
          <w:bCs/>
          <w:sz w:val="24"/>
          <w:szCs w:val="24"/>
        </w:rPr>
        <w:t xml:space="preserve"> such as</w:t>
      </w:r>
      <w:r w:rsidR="00051EBC" w:rsidRPr="00EF153E">
        <w:rPr>
          <w:rStyle w:val="zmsearchresult"/>
          <w:rFonts w:ascii="Times New Roman" w:hAnsi="Times New Roman" w:cs="Times New Roman"/>
          <w:bCs/>
          <w:sz w:val="24"/>
          <w:szCs w:val="24"/>
        </w:rPr>
        <w:t>,</w:t>
      </w:r>
      <w:r w:rsidRPr="00EF153E">
        <w:rPr>
          <w:rStyle w:val="zmsearchresult"/>
          <w:rFonts w:ascii="Times New Roman" w:hAnsi="Times New Roman" w:cs="Times New Roman"/>
          <w:bCs/>
          <w:sz w:val="24"/>
          <w:szCs w:val="24"/>
        </w:rPr>
        <w:t xml:space="preserve"> debt</w:t>
      </w:r>
      <w:r w:rsidR="00B24D6C" w:rsidRPr="00EF153E">
        <w:rPr>
          <w:rStyle w:val="zmsearchresult"/>
          <w:rFonts w:ascii="Times New Roman" w:hAnsi="Times New Roman" w:cs="Times New Roman"/>
          <w:bCs/>
          <w:sz w:val="24"/>
          <w:szCs w:val="24"/>
        </w:rPr>
        <w:t>,</w:t>
      </w:r>
      <w:r w:rsidR="00AE5FA9" w:rsidRPr="00EF153E">
        <w:rPr>
          <w:rStyle w:val="zmsearchresult"/>
          <w:rFonts w:ascii="Times New Roman" w:hAnsi="Times New Roman" w:cs="Times New Roman"/>
          <w:bCs/>
          <w:sz w:val="24"/>
          <w:szCs w:val="24"/>
        </w:rPr>
        <w:t xml:space="preserve"> </w:t>
      </w:r>
      <w:r w:rsidRPr="00EF153E">
        <w:rPr>
          <w:rStyle w:val="zmsearchresult"/>
          <w:rFonts w:ascii="Times New Roman" w:hAnsi="Times New Roman" w:cs="Times New Roman"/>
          <w:bCs/>
          <w:i/>
          <w:iCs/>
          <w:sz w:val="24"/>
          <w:szCs w:val="24"/>
        </w:rPr>
        <w:t>etc</w:t>
      </w:r>
      <w:r w:rsidRPr="00EF153E">
        <w:rPr>
          <w:rStyle w:val="zmsearchresult"/>
          <w:rFonts w:ascii="Times New Roman" w:hAnsi="Times New Roman" w:cs="Times New Roman"/>
          <w:bCs/>
          <w:sz w:val="24"/>
          <w:szCs w:val="24"/>
        </w:rPr>
        <w:t xml:space="preserve">., are measured at historical cost. Physical Assets are not </w:t>
      </w:r>
      <w:r w:rsidR="00AA2A81" w:rsidRPr="00EF153E">
        <w:rPr>
          <w:rStyle w:val="zmsearchresult"/>
          <w:rFonts w:ascii="Times New Roman" w:hAnsi="Times New Roman" w:cs="Times New Roman"/>
          <w:bCs/>
          <w:sz w:val="24"/>
          <w:szCs w:val="24"/>
        </w:rPr>
        <w:lastRenderedPageBreak/>
        <w:t>depreciated,</w:t>
      </w:r>
      <w:r w:rsidRPr="00EF153E">
        <w:rPr>
          <w:rStyle w:val="zmsearchresult"/>
          <w:rFonts w:ascii="Times New Roman" w:hAnsi="Times New Roman" w:cs="Times New Roman"/>
          <w:bCs/>
          <w:sz w:val="24"/>
          <w:szCs w:val="24"/>
        </w:rPr>
        <w:t xml:space="preserve"> and financial assets are not amortized. Losses in Physical Assets at the end of their life are also not expensed or recognized. </w:t>
      </w:r>
    </w:p>
    <w:p w14:paraId="635EAAB2" w14:textId="13D336AF" w:rsidR="000F686F" w:rsidRPr="00EF153E" w:rsidRDefault="00886726" w:rsidP="00B90901">
      <w:pPr>
        <w:widowControl w:val="0"/>
        <w:autoSpaceDE w:val="0"/>
        <w:autoSpaceDN w:val="0"/>
        <w:adjustRightInd w:val="0"/>
        <w:spacing w:before="240" w:after="24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
          <w:sz w:val="24"/>
          <w:szCs w:val="24"/>
        </w:rPr>
        <w:t>Grants-in-aid:</w:t>
      </w:r>
      <w:r w:rsidRPr="00EF153E">
        <w:rPr>
          <w:rStyle w:val="zmsearchresult"/>
          <w:rFonts w:ascii="Times New Roman" w:hAnsi="Times New Roman" w:cs="Times New Roman"/>
          <w:bCs/>
          <w:sz w:val="24"/>
          <w:szCs w:val="24"/>
        </w:rPr>
        <w:t xml:space="preserve"> In compliance with the Indian Government Accounting Standard (IGAS) 2: Accounting and Classification of Grants-in-aid, grants-in-aid in cash is recognised as revenue expenditure at the time of disbursement even if it involves creation of assets by the grantee, except in cases specifically authorised by the President on the advice of the Comptroller and Auditor General of India. All grants received are recognised as revenue receipts. Details for meeting the requirements of accounting and classification of Grants</w:t>
      </w:r>
      <w:r w:rsidR="00FC1E42">
        <w:rPr>
          <w:rStyle w:val="zmsearchresult"/>
          <w:rFonts w:ascii="Times New Roman" w:hAnsi="Times New Roman" w:cs="Times New Roman"/>
          <w:bCs/>
          <w:sz w:val="24"/>
          <w:szCs w:val="24"/>
        </w:rPr>
        <w:noBreakHyphen/>
      </w:r>
      <w:r w:rsidRPr="00EF153E">
        <w:rPr>
          <w:rStyle w:val="zmsearchresult"/>
          <w:rFonts w:ascii="Times New Roman" w:hAnsi="Times New Roman" w:cs="Times New Roman"/>
          <w:bCs/>
          <w:sz w:val="24"/>
          <w:szCs w:val="24"/>
        </w:rPr>
        <w:t>in-aid given by the State Government are depicted in Statement 10 and Appendix</w:t>
      </w:r>
      <w:r w:rsidR="00FC1E42">
        <w:rPr>
          <w:rStyle w:val="zmsearchresult"/>
          <w:rFonts w:ascii="Times New Roman" w:hAnsi="Times New Roman" w:cs="Times New Roman"/>
          <w:bCs/>
          <w:sz w:val="24"/>
          <w:szCs w:val="24"/>
        </w:rPr>
        <w:t> </w:t>
      </w:r>
      <w:r w:rsidRPr="00EF153E">
        <w:rPr>
          <w:rStyle w:val="zmsearchresult"/>
          <w:rFonts w:ascii="Times New Roman" w:hAnsi="Times New Roman" w:cs="Times New Roman"/>
          <w:bCs/>
          <w:sz w:val="24"/>
          <w:szCs w:val="24"/>
        </w:rPr>
        <w:t>III</w:t>
      </w:r>
      <w:r w:rsidR="00AE5FA9" w:rsidRPr="00EF153E">
        <w:rPr>
          <w:rStyle w:val="zmsearchresult"/>
          <w:rFonts w:ascii="Times New Roman" w:hAnsi="Times New Roman" w:cs="Times New Roman"/>
          <w:bCs/>
          <w:sz w:val="24"/>
          <w:szCs w:val="24"/>
        </w:rPr>
        <w:t xml:space="preserve"> </w:t>
      </w:r>
      <w:r w:rsidR="00B24D6C" w:rsidRPr="00EF153E">
        <w:rPr>
          <w:rStyle w:val="zmsearchresult"/>
          <w:rFonts w:ascii="Times New Roman" w:hAnsi="Times New Roman" w:cs="Times New Roman"/>
          <w:bCs/>
          <w:sz w:val="24"/>
          <w:szCs w:val="24"/>
        </w:rPr>
        <w:t>of the Finance Accounts</w:t>
      </w:r>
      <w:r w:rsidRPr="00EF153E">
        <w:rPr>
          <w:rStyle w:val="zmsearchresult"/>
          <w:rFonts w:ascii="Times New Roman" w:hAnsi="Times New Roman" w:cs="Times New Roman"/>
          <w:bCs/>
          <w:sz w:val="24"/>
          <w:szCs w:val="24"/>
        </w:rPr>
        <w:t xml:space="preserve">. </w:t>
      </w:r>
      <w:r w:rsidR="00B74858">
        <w:rPr>
          <w:rStyle w:val="zmsearchresult"/>
          <w:rFonts w:ascii="Times New Roman" w:hAnsi="Times New Roman" w:cs="Times New Roman"/>
          <w:bCs/>
          <w:sz w:val="24"/>
          <w:szCs w:val="24"/>
        </w:rPr>
        <w:t>Detailed information in respect of Grants-in-Aid given in kind is not available.</w:t>
      </w:r>
    </w:p>
    <w:p w14:paraId="41C75B9C" w14:textId="32E9BF31" w:rsidR="000F686F" w:rsidRPr="00EF153E" w:rsidRDefault="00886726" w:rsidP="00FC1E42">
      <w:pPr>
        <w:widowControl w:val="0"/>
        <w:autoSpaceDE w:val="0"/>
        <w:autoSpaceDN w:val="0"/>
        <w:adjustRightInd w:val="0"/>
        <w:spacing w:before="24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
          <w:sz w:val="24"/>
          <w:szCs w:val="24"/>
        </w:rPr>
        <w:t>Loans and advances:</w:t>
      </w:r>
      <w:r w:rsidRPr="00EF153E">
        <w:rPr>
          <w:rStyle w:val="zmsearchresult"/>
          <w:rFonts w:ascii="Times New Roman" w:hAnsi="Times New Roman" w:cs="Times New Roman"/>
          <w:bCs/>
          <w:sz w:val="24"/>
          <w:szCs w:val="24"/>
        </w:rPr>
        <w:t xml:space="preserve"> In compliance with the IGAS 3: Loan</w:t>
      </w:r>
      <w:r w:rsidR="00F6045A">
        <w:rPr>
          <w:rStyle w:val="zmsearchresult"/>
          <w:rFonts w:ascii="Times New Roman" w:hAnsi="Times New Roman" w:cs="Times New Roman"/>
          <w:bCs/>
          <w:sz w:val="24"/>
          <w:szCs w:val="24"/>
        </w:rPr>
        <w:t>s</w:t>
      </w:r>
      <w:r w:rsidRPr="00EF153E">
        <w:rPr>
          <w:rStyle w:val="zmsearchresult"/>
          <w:rFonts w:ascii="Times New Roman" w:hAnsi="Times New Roman" w:cs="Times New Roman"/>
          <w:bCs/>
          <w:sz w:val="24"/>
          <w:szCs w:val="24"/>
        </w:rPr>
        <w:t xml:space="preserve"> and Advances made by Government, </w:t>
      </w:r>
      <w:r w:rsidR="00051EBC" w:rsidRPr="00EF153E">
        <w:rPr>
          <w:rStyle w:val="zmsearchresult"/>
          <w:rFonts w:ascii="Times New Roman" w:hAnsi="Times New Roman" w:cs="Times New Roman"/>
          <w:bCs/>
          <w:sz w:val="24"/>
          <w:szCs w:val="24"/>
        </w:rPr>
        <w:t xml:space="preserve">details of </w:t>
      </w:r>
      <w:r w:rsidRPr="00EF153E">
        <w:rPr>
          <w:rStyle w:val="zmsearchresult"/>
          <w:rFonts w:ascii="Times New Roman" w:hAnsi="Times New Roman" w:cs="Times New Roman"/>
          <w:bCs/>
          <w:sz w:val="24"/>
          <w:szCs w:val="24"/>
        </w:rPr>
        <w:t>loan</w:t>
      </w:r>
      <w:r w:rsidR="00BC3483" w:rsidRPr="00EF153E">
        <w:rPr>
          <w:rStyle w:val="zmsearchresult"/>
          <w:rFonts w:ascii="Times New Roman" w:hAnsi="Times New Roman" w:cs="Times New Roman"/>
          <w:bCs/>
          <w:sz w:val="24"/>
          <w:szCs w:val="24"/>
        </w:rPr>
        <w:t>s</w:t>
      </w:r>
      <w:r w:rsidRPr="00EF153E">
        <w:rPr>
          <w:rStyle w:val="zmsearchresult"/>
          <w:rFonts w:ascii="Times New Roman" w:hAnsi="Times New Roman" w:cs="Times New Roman"/>
          <w:bCs/>
          <w:sz w:val="24"/>
          <w:szCs w:val="24"/>
        </w:rPr>
        <w:t xml:space="preserve"> and advances made by the State Government </w:t>
      </w:r>
      <w:r w:rsidR="00B24D6C" w:rsidRPr="00EF153E">
        <w:rPr>
          <w:rStyle w:val="zmsearchresult"/>
          <w:rFonts w:ascii="Times New Roman" w:hAnsi="Times New Roman" w:cs="Times New Roman"/>
          <w:bCs/>
          <w:sz w:val="24"/>
          <w:szCs w:val="24"/>
        </w:rPr>
        <w:t xml:space="preserve">are disclosed </w:t>
      </w:r>
      <w:r w:rsidRPr="00EF153E">
        <w:rPr>
          <w:rStyle w:val="zmsearchresult"/>
          <w:rFonts w:ascii="Times New Roman" w:hAnsi="Times New Roman" w:cs="Times New Roman"/>
          <w:bCs/>
          <w:sz w:val="24"/>
          <w:szCs w:val="24"/>
        </w:rPr>
        <w:t>in Statements 7 and 18 of the Finance Accounts. The closing balances depicted in Statements as on 31 March 20</w:t>
      </w:r>
      <w:r w:rsidR="006173EB" w:rsidRPr="00EF153E">
        <w:rPr>
          <w:rStyle w:val="zmsearchresult"/>
          <w:rFonts w:ascii="Times New Roman" w:hAnsi="Times New Roman" w:cs="Times New Roman"/>
          <w:bCs/>
          <w:sz w:val="24"/>
          <w:szCs w:val="24"/>
        </w:rPr>
        <w:t>2</w:t>
      </w:r>
      <w:r w:rsidR="0096373D">
        <w:rPr>
          <w:rStyle w:val="zmsearchresult"/>
          <w:rFonts w:ascii="Times New Roman" w:hAnsi="Times New Roman" w:cs="Times New Roman"/>
          <w:bCs/>
          <w:sz w:val="24"/>
          <w:szCs w:val="24"/>
        </w:rPr>
        <w:t>3</w:t>
      </w:r>
      <w:r w:rsidRPr="00EF153E">
        <w:rPr>
          <w:rStyle w:val="zmsearchresult"/>
          <w:rFonts w:ascii="Times New Roman" w:hAnsi="Times New Roman" w:cs="Times New Roman"/>
          <w:bCs/>
          <w:sz w:val="24"/>
          <w:szCs w:val="24"/>
        </w:rPr>
        <w:t xml:space="preserve"> </w:t>
      </w:r>
      <w:r w:rsidR="00707247" w:rsidRPr="00EF153E">
        <w:rPr>
          <w:rStyle w:val="zmsearchresult"/>
          <w:rFonts w:ascii="Times New Roman" w:hAnsi="Times New Roman" w:cs="Times New Roman"/>
          <w:bCs/>
          <w:sz w:val="24"/>
          <w:szCs w:val="24"/>
        </w:rPr>
        <w:t xml:space="preserve">is as provided by the </w:t>
      </w:r>
      <w:r w:rsidRPr="00EF153E">
        <w:rPr>
          <w:rStyle w:val="zmsearchresult"/>
          <w:rFonts w:ascii="Times New Roman" w:hAnsi="Times New Roman" w:cs="Times New Roman"/>
          <w:bCs/>
          <w:sz w:val="24"/>
          <w:szCs w:val="24"/>
        </w:rPr>
        <w:t xml:space="preserve">State Government. </w:t>
      </w:r>
    </w:p>
    <w:p w14:paraId="18124D8F" w14:textId="77777777" w:rsidR="00886726" w:rsidRPr="00EF153E" w:rsidRDefault="00886726" w:rsidP="00FC1E42">
      <w:pPr>
        <w:widowControl w:val="0"/>
        <w:autoSpaceDE w:val="0"/>
        <w:autoSpaceDN w:val="0"/>
        <w:adjustRightInd w:val="0"/>
        <w:spacing w:before="24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
          <w:sz w:val="24"/>
          <w:szCs w:val="24"/>
        </w:rPr>
        <w:t>Retirement benefits:</w:t>
      </w:r>
      <w:r w:rsidRPr="00EF153E">
        <w:rPr>
          <w:rStyle w:val="zmsearchresult"/>
          <w:rFonts w:ascii="Times New Roman" w:hAnsi="Times New Roman" w:cs="Times New Roman"/>
          <w:bCs/>
          <w:sz w:val="24"/>
          <w:szCs w:val="24"/>
        </w:rPr>
        <w:t xml:space="preserve"> Retirement benefits disbursed during the reporting period have been reflected in the accounts, but the future pension liability of the Government</w:t>
      </w:r>
      <w:r w:rsidR="004B4CCE" w:rsidRPr="00EF153E">
        <w:rPr>
          <w:rStyle w:val="zmsearchresult"/>
          <w:rFonts w:ascii="Times New Roman" w:hAnsi="Times New Roman" w:cs="Times New Roman"/>
          <w:bCs/>
          <w:sz w:val="24"/>
          <w:szCs w:val="24"/>
        </w:rPr>
        <w:t xml:space="preserve"> towards employe</w:t>
      </w:r>
      <w:r w:rsidR="004D33C7" w:rsidRPr="00EF153E">
        <w:rPr>
          <w:rStyle w:val="zmsearchresult"/>
          <w:rFonts w:ascii="Times New Roman" w:hAnsi="Times New Roman" w:cs="Times New Roman"/>
          <w:bCs/>
          <w:sz w:val="24"/>
          <w:szCs w:val="24"/>
        </w:rPr>
        <w:t>es under the Old Pension S</w:t>
      </w:r>
      <w:r w:rsidR="004B4CCE" w:rsidRPr="00EF153E">
        <w:rPr>
          <w:rStyle w:val="zmsearchresult"/>
          <w:rFonts w:ascii="Times New Roman" w:hAnsi="Times New Roman" w:cs="Times New Roman"/>
          <w:bCs/>
          <w:sz w:val="24"/>
          <w:szCs w:val="24"/>
        </w:rPr>
        <w:t>cheme</w:t>
      </w:r>
      <w:r w:rsidRPr="00EF153E">
        <w:rPr>
          <w:rStyle w:val="zmsearchresult"/>
          <w:rFonts w:ascii="Times New Roman" w:hAnsi="Times New Roman" w:cs="Times New Roman"/>
          <w:bCs/>
          <w:sz w:val="24"/>
          <w:szCs w:val="24"/>
        </w:rPr>
        <w:t xml:space="preserve">, </w:t>
      </w:r>
      <w:r w:rsidRPr="00EF153E">
        <w:rPr>
          <w:rStyle w:val="zmsearchresult"/>
          <w:rFonts w:ascii="Times New Roman" w:hAnsi="Times New Roman" w:cs="Times New Roman"/>
          <w:bCs/>
          <w:i/>
          <w:iCs/>
          <w:sz w:val="24"/>
          <w:szCs w:val="24"/>
        </w:rPr>
        <w:t>i.e.,</w:t>
      </w:r>
      <w:r w:rsidRPr="00EF153E">
        <w:rPr>
          <w:rStyle w:val="zmsearchresult"/>
          <w:rFonts w:ascii="Times New Roman" w:hAnsi="Times New Roman" w:cs="Times New Roman"/>
          <w:bCs/>
          <w:sz w:val="24"/>
          <w:szCs w:val="24"/>
        </w:rPr>
        <w:t xml:space="preserve"> the liability towards payment of retirement benefits for the past and the present service of its employees is not included in the accounts.</w:t>
      </w:r>
    </w:p>
    <w:p w14:paraId="11363148" w14:textId="77777777" w:rsidR="00886726" w:rsidRPr="00EF153E" w:rsidRDefault="00886726" w:rsidP="00FC1E42">
      <w:pPr>
        <w:pStyle w:val="ListParagraph"/>
        <w:widowControl w:val="0"/>
        <w:numPr>
          <w:ilvl w:val="0"/>
          <w:numId w:val="16"/>
        </w:numPr>
        <w:autoSpaceDE w:val="0"/>
        <w:autoSpaceDN w:val="0"/>
        <w:adjustRightInd w:val="0"/>
        <w:spacing w:before="240" w:after="240" w:line="240" w:lineRule="auto"/>
        <w:ind w:left="1077"/>
        <w:contextualSpacing w:val="0"/>
        <w:jc w:val="both"/>
        <w:rPr>
          <w:rStyle w:val="zmsearchresult"/>
          <w:rFonts w:ascii="Times New Roman" w:hAnsi="Times New Roman" w:cs="Times New Roman"/>
          <w:b/>
          <w:sz w:val="24"/>
          <w:szCs w:val="24"/>
        </w:rPr>
      </w:pPr>
      <w:r w:rsidRPr="00EF153E">
        <w:rPr>
          <w:rStyle w:val="zmsearchresult"/>
          <w:rFonts w:ascii="Times New Roman" w:hAnsi="Times New Roman" w:cs="Times New Roman"/>
          <w:b/>
          <w:sz w:val="24"/>
          <w:szCs w:val="24"/>
        </w:rPr>
        <w:t>Rounding off:</w:t>
      </w:r>
    </w:p>
    <w:p w14:paraId="670D51D3" w14:textId="77777777" w:rsidR="00964E09" w:rsidRDefault="00886726"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T</w:t>
      </w:r>
      <w:r w:rsidR="00964E09">
        <w:rPr>
          <w:rStyle w:val="zmsearchresult"/>
          <w:rFonts w:ascii="Times New Roman" w:hAnsi="Times New Roman" w:cs="Times New Roman"/>
          <w:bCs/>
          <w:sz w:val="24"/>
          <w:szCs w:val="24"/>
        </w:rPr>
        <w:t>he Statements present figures which are rounded-off to ₹ in Lakh and ₹ in Crore as depicted at the top of the respective Statements.</w:t>
      </w:r>
    </w:p>
    <w:p w14:paraId="0508EE1D" w14:textId="17B61237" w:rsidR="00886726" w:rsidRPr="00EF153E" w:rsidRDefault="00964E09"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r>
        <w:rPr>
          <w:rStyle w:val="zmsearchresult"/>
          <w:rFonts w:ascii="Times New Roman" w:hAnsi="Times New Roman" w:cs="Times New Roman"/>
          <w:bCs/>
          <w:sz w:val="24"/>
          <w:szCs w:val="24"/>
        </w:rPr>
        <w:t>Minor differenc</w:t>
      </w:r>
      <w:r w:rsidR="00664FB7">
        <w:rPr>
          <w:rStyle w:val="zmsearchresult"/>
          <w:rFonts w:ascii="Times New Roman" w:hAnsi="Times New Roman" w:cs="Times New Roman"/>
          <w:bCs/>
          <w:sz w:val="24"/>
          <w:szCs w:val="24"/>
        </w:rPr>
        <w:t>e of ₹0.01/0.02 lakh/crore, wher</w:t>
      </w:r>
      <w:r>
        <w:rPr>
          <w:rStyle w:val="zmsearchresult"/>
          <w:rFonts w:ascii="Times New Roman" w:hAnsi="Times New Roman" w:cs="Times New Roman"/>
          <w:bCs/>
          <w:sz w:val="24"/>
          <w:szCs w:val="24"/>
        </w:rPr>
        <w:t>ever occurring, between the Summary Statements and Detailed Statements in Volume-I and Volume-II respectively, is due to rounding</w:t>
      </w:r>
      <w:r w:rsidR="00174C4F">
        <w:rPr>
          <w:rStyle w:val="zmsearchresult"/>
          <w:rFonts w:ascii="Times New Roman" w:hAnsi="Times New Roman" w:cs="Times New Roman"/>
          <w:bCs/>
          <w:sz w:val="24"/>
          <w:szCs w:val="24"/>
        </w:rPr>
        <w:t xml:space="preserve"> off of figures</w:t>
      </w:r>
      <w:r>
        <w:rPr>
          <w:rStyle w:val="zmsearchresult"/>
          <w:rFonts w:ascii="Times New Roman" w:hAnsi="Times New Roman" w:cs="Times New Roman"/>
          <w:bCs/>
          <w:sz w:val="24"/>
          <w:szCs w:val="24"/>
        </w:rPr>
        <w:t>.</w:t>
      </w:r>
    </w:p>
    <w:p w14:paraId="42A37593" w14:textId="77777777" w:rsidR="00886726" w:rsidRPr="00EF153E" w:rsidRDefault="00886726" w:rsidP="00691CA3">
      <w:pPr>
        <w:pStyle w:val="ListParagraph"/>
        <w:widowControl w:val="0"/>
        <w:numPr>
          <w:ilvl w:val="0"/>
          <w:numId w:val="16"/>
        </w:numPr>
        <w:autoSpaceDE w:val="0"/>
        <w:autoSpaceDN w:val="0"/>
        <w:adjustRightInd w:val="0"/>
        <w:spacing w:before="240" w:after="240" w:line="240" w:lineRule="auto"/>
        <w:contextualSpacing w:val="0"/>
        <w:jc w:val="both"/>
        <w:rPr>
          <w:rStyle w:val="zmsearchresult"/>
          <w:rFonts w:ascii="Times New Roman" w:hAnsi="Times New Roman" w:cs="Times New Roman"/>
          <w:b/>
          <w:sz w:val="24"/>
          <w:szCs w:val="24"/>
        </w:rPr>
      </w:pPr>
      <w:r w:rsidRPr="00EF153E">
        <w:rPr>
          <w:rStyle w:val="zmsearchresult"/>
          <w:rFonts w:ascii="Times New Roman" w:hAnsi="Times New Roman" w:cs="Times New Roman"/>
          <w:b/>
          <w:sz w:val="24"/>
          <w:szCs w:val="24"/>
        </w:rPr>
        <w:t>Cash Balance:</w:t>
      </w:r>
    </w:p>
    <w:p w14:paraId="13E2543C" w14:textId="24314CBE" w:rsidR="00886726" w:rsidRDefault="00886726"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Cash balance</w:t>
      </w:r>
      <w:r w:rsidR="00BC6B3E" w:rsidRPr="00EF153E">
        <w:rPr>
          <w:rStyle w:val="zmsearchresult"/>
          <w:rFonts w:ascii="Times New Roman" w:hAnsi="Times New Roman" w:cs="Times New Roman"/>
          <w:bCs/>
          <w:sz w:val="24"/>
          <w:szCs w:val="24"/>
        </w:rPr>
        <w:t xml:space="preserve"> as reported in the accounts</w:t>
      </w:r>
      <w:r w:rsidRPr="00EF153E">
        <w:rPr>
          <w:rStyle w:val="zmsearchresult"/>
          <w:rFonts w:ascii="Times New Roman" w:hAnsi="Times New Roman" w:cs="Times New Roman"/>
          <w:bCs/>
          <w:sz w:val="24"/>
          <w:szCs w:val="24"/>
        </w:rPr>
        <w:t xml:space="preserve"> is the balance </w:t>
      </w:r>
      <w:r w:rsidR="004D33C7" w:rsidRPr="00EF153E">
        <w:rPr>
          <w:rStyle w:val="zmsearchresult"/>
          <w:rFonts w:ascii="Times New Roman" w:hAnsi="Times New Roman" w:cs="Times New Roman"/>
          <w:bCs/>
          <w:sz w:val="24"/>
          <w:szCs w:val="24"/>
        </w:rPr>
        <w:t>of the S</w:t>
      </w:r>
      <w:r w:rsidR="00BC6B3E" w:rsidRPr="00EF153E">
        <w:rPr>
          <w:rStyle w:val="zmsearchresult"/>
          <w:rFonts w:ascii="Times New Roman" w:hAnsi="Times New Roman" w:cs="Times New Roman"/>
          <w:bCs/>
          <w:sz w:val="24"/>
          <w:szCs w:val="24"/>
        </w:rPr>
        <w:t xml:space="preserve">tate </w:t>
      </w:r>
      <w:r w:rsidRPr="00EF153E">
        <w:rPr>
          <w:rStyle w:val="zmsearchresult"/>
          <w:rFonts w:ascii="Times New Roman" w:hAnsi="Times New Roman" w:cs="Times New Roman"/>
          <w:bCs/>
          <w:sz w:val="24"/>
          <w:szCs w:val="24"/>
        </w:rPr>
        <w:t>as at end of the 3</w:t>
      </w:r>
      <w:r w:rsidR="009021E2" w:rsidRPr="00EF153E">
        <w:rPr>
          <w:rStyle w:val="zmsearchresult"/>
          <w:rFonts w:ascii="Times New Roman" w:hAnsi="Times New Roman" w:cs="Times New Roman"/>
          <w:bCs/>
          <w:sz w:val="24"/>
          <w:szCs w:val="24"/>
        </w:rPr>
        <w:t>1</w:t>
      </w:r>
      <w:r w:rsidR="009021E2" w:rsidRPr="00EF153E">
        <w:rPr>
          <w:rStyle w:val="zmsearchresult"/>
          <w:rFonts w:ascii="Times New Roman" w:hAnsi="Times New Roman" w:cs="Times New Roman"/>
          <w:bCs/>
          <w:sz w:val="24"/>
          <w:szCs w:val="24"/>
          <w:vertAlign w:val="superscript"/>
        </w:rPr>
        <w:t>st</w:t>
      </w:r>
      <w:r w:rsidR="0054130A">
        <w:rPr>
          <w:rStyle w:val="zmsearchresult"/>
          <w:rFonts w:ascii="Times New Roman" w:hAnsi="Times New Roman" w:cs="Times New Roman"/>
          <w:bCs/>
          <w:sz w:val="24"/>
          <w:szCs w:val="24"/>
          <w:vertAlign w:val="superscript"/>
        </w:rPr>
        <w:t> </w:t>
      </w:r>
      <w:r w:rsidRPr="00EF153E">
        <w:rPr>
          <w:rStyle w:val="zmsearchresult"/>
          <w:rFonts w:ascii="Times New Roman" w:hAnsi="Times New Roman" w:cs="Times New Roman"/>
          <w:bCs/>
          <w:sz w:val="24"/>
          <w:szCs w:val="24"/>
        </w:rPr>
        <w:t xml:space="preserve">March of a year recorded in the Account of the State Government with the Central Accounts Section of the Reserve Bank of India. The cash balance reflects the balance after cash transactions involving Consolidated Fund, the Contingency Fund and Public Account of the State for the year. Book adjustments do not affect the cash balance. </w:t>
      </w:r>
      <w:r w:rsidR="005B07DB" w:rsidRPr="00EF153E">
        <w:rPr>
          <w:rStyle w:val="zmsearchresult"/>
          <w:rFonts w:ascii="Times New Roman" w:hAnsi="Times New Roman" w:cs="Times New Roman"/>
          <w:bCs/>
          <w:sz w:val="24"/>
          <w:szCs w:val="24"/>
        </w:rPr>
        <w:t>Cash balance reported in the Finance Accounts is subject to reconciliation with the book of the Reserve Bank of India</w:t>
      </w:r>
      <w:r w:rsidRPr="00EF153E">
        <w:rPr>
          <w:rStyle w:val="zmsearchresult"/>
          <w:rFonts w:ascii="Times New Roman" w:hAnsi="Times New Roman" w:cs="Times New Roman"/>
          <w:bCs/>
          <w:sz w:val="24"/>
          <w:szCs w:val="24"/>
        </w:rPr>
        <w:t>.</w:t>
      </w:r>
    </w:p>
    <w:p w14:paraId="3BDB17FD" w14:textId="77777777" w:rsidR="00B90901" w:rsidRDefault="00B90901"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p>
    <w:p w14:paraId="5F34274A" w14:textId="77777777" w:rsidR="00B90901" w:rsidRPr="00EF153E" w:rsidRDefault="00B90901" w:rsidP="00C51B69">
      <w:pPr>
        <w:widowControl w:val="0"/>
        <w:autoSpaceDE w:val="0"/>
        <w:autoSpaceDN w:val="0"/>
        <w:adjustRightInd w:val="0"/>
        <w:spacing w:before="120" w:after="120" w:line="288" w:lineRule="auto"/>
        <w:ind w:left="360"/>
        <w:jc w:val="both"/>
        <w:rPr>
          <w:rStyle w:val="zmsearchresult"/>
          <w:rFonts w:ascii="Times New Roman" w:hAnsi="Times New Roman" w:cs="Times New Roman"/>
          <w:bCs/>
          <w:sz w:val="24"/>
          <w:szCs w:val="24"/>
        </w:rPr>
      </w:pPr>
    </w:p>
    <w:p w14:paraId="6CC62E60" w14:textId="77777777" w:rsidR="00886726" w:rsidRPr="00EF153E" w:rsidRDefault="00E24C26" w:rsidP="00691CA3">
      <w:pPr>
        <w:pStyle w:val="ListParagraph"/>
        <w:widowControl w:val="0"/>
        <w:numPr>
          <w:ilvl w:val="0"/>
          <w:numId w:val="16"/>
        </w:numPr>
        <w:autoSpaceDE w:val="0"/>
        <w:autoSpaceDN w:val="0"/>
        <w:adjustRightInd w:val="0"/>
        <w:spacing w:before="240" w:after="240" w:line="240" w:lineRule="auto"/>
        <w:contextualSpacing w:val="0"/>
        <w:jc w:val="both"/>
        <w:rPr>
          <w:rStyle w:val="zmsearchresult"/>
          <w:rFonts w:ascii="Times New Roman" w:hAnsi="Times New Roman" w:cs="Times New Roman"/>
          <w:b/>
          <w:sz w:val="24"/>
          <w:szCs w:val="24"/>
        </w:rPr>
      </w:pPr>
      <w:r w:rsidRPr="00EF153E">
        <w:rPr>
          <w:rStyle w:val="zmsearchresult"/>
          <w:rFonts w:ascii="Times New Roman" w:hAnsi="Times New Roman" w:cs="Times New Roman"/>
          <w:b/>
          <w:sz w:val="24"/>
          <w:szCs w:val="24"/>
        </w:rPr>
        <w:lastRenderedPageBreak/>
        <w:t xml:space="preserve">Disclosure of </w:t>
      </w:r>
      <w:r w:rsidR="00886726" w:rsidRPr="00EF153E">
        <w:rPr>
          <w:rStyle w:val="zmsearchresult"/>
          <w:rFonts w:ascii="Times New Roman" w:hAnsi="Times New Roman" w:cs="Times New Roman"/>
          <w:b/>
          <w:sz w:val="24"/>
          <w:szCs w:val="24"/>
        </w:rPr>
        <w:t xml:space="preserve">Contingent </w:t>
      </w:r>
      <w:r w:rsidR="00BC6B3E" w:rsidRPr="00EF153E">
        <w:rPr>
          <w:rStyle w:val="zmsearchresult"/>
          <w:rFonts w:ascii="Times New Roman" w:hAnsi="Times New Roman" w:cs="Times New Roman"/>
          <w:b/>
          <w:sz w:val="24"/>
          <w:szCs w:val="24"/>
        </w:rPr>
        <w:t>&amp;</w:t>
      </w:r>
      <w:r w:rsidR="006173EB" w:rsidRPr="00EF153E">
        <w:rPr>
          <w:rStyle w:val="zmsearchresult"/>
          <w:rFonts w:ascii="Times New Roman" w:hAnsi="Times New Roman" w:cs="Times New Roman"/>
          <w:b/>
          <w:sz w:val="24"/>
          <w:szCs w:val="24"/>
        </w:rPr>
        <w:t xml:space="preserve"> </w:t>
      </w:r>
      <w:r w:rsidR="00BC6B3E" w:rsidRPr="00EF153E">
        <w:rPr>
          <w:rStyle w:val="zmsearchresult"/>
          <w:rFonts w:ascii="Times New Roman" w:hAnsi="Times New Roman" w:cs="Times New Roman"/>
          <w:b/>
          <w:sz w:val="24"/>
          <w:szCs w:val="24"/>
        </w:rPr>
        <w:t xml:space="preserve">Committed </w:t>
      </w:r>
      <w:r w:rsidR="00886726" w:rsidRPr="00EF153E">
        <w:rPr>
          <w:rStyle w:val="zmsearchresult"/>
          <w:rFonts w:ascii="Times New Roman" w:hAnsi="Times New Roman" w:cs="Times New Roman"/>
          <w:b/>
          <w:sz w:val="24"/>
          <w:szCs w:val="24"/>
        </w:rPr>
        <w:t xml:space="preserve">liabilities: </w:t>
      </w:r>
    </w:p>
    <w:p w14:paraId="09EE1C01" w14:textId="293B2C8F" w:rsidR="003571F7" w:rsidRPr="00EF153E" w:rsidRDefault="00886726" w:rsidP="00B90901">
      <w:pPr>
        <w:widowControl w:val="0"/>
        <w:autoSpaceDE w:val="0"/>
        <w:autoSpaceDN w:val="0"/>
        <w:adjustRightInd w:val="0"/>
        <w:spacing w:before="240" w:after="240" w:line="288" w:lineRule="auto"/>
        <w:ind w:left="360"/>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 xml:space="preserve">Contingent liabilities are not recognised. </w:t>
      </w:r>
      <w:r w:rsidR="00C51B69" w:rsidRPr="00EF153E">
        <w:rPr>
          <w:rStyle w:val="zmsearchresult"/>
          <w:rFonts w:ascii="Times New Roman" w:hAnsi="Times New Roman" w:cs="Times New Roman"/>
          <w:bCs/>
          <w:sz w:val="24"/>
          <w:szCs w:val="24"/>
        </w:rPr>
        <w:t xml:space="preserve">In compliance with the IGAS 1: </w:t>
      </w:r>
      <w:r w:rsidR="00707247" w:rsidRPr="00EF153E">
        <w:rPr>
          <w:rStyle w:val="zmsearchresult"/>
          <w:rFonts w:ascii="Times New Roman" w:hAnsi="Times New Roman" w:cs="Times New Roman"/>
          <w:bCs/>
          <w:sz w:val="24"/>
          <w:szCs w:val="24"/>
        </w:rPr>
        <w:t>‘</w:t>
      </w:r>
      <w:r w:rsidRPr="00EF153E">
        <w:rPr>
          <w:rStyle w:val="zmsearchresult"/>
          <w:rFonts w:ascii="Times New Roman" w:hAnsi="Times New Roman" w:cs="Times New Roman"/>
          <w:bCs/>
          <w:sz w:val="24"/>
          <w:szCs w:val="24"/>
        </w:rPr>
        <w:t>Guarantees given by the Governments</w:t>
      </w:r>
      <w:r w:rsidR="00707247" w:rsidRPr="00EF153E">
        <w:rPr>
          <w:rStyle w:val="zmsearchresult"/>
          <w:rFonts w:ascii="Times New Roman" w:hAnsi="Times New Roman" w:cs="Times New Roman"/>
          <w:bCs/>
          <w:sz w:val="24"/>
          <w:szCs w:val="24"/>
        </w:rPr>
        <w:t>’</w:t>
      </w:r>
      <w:r w:rsidR="00C51DB8" w:rsidRPr="00EF153E">
        <w:rPr>
          <w:rStyle w:val="zmsearchresult"/>
          <w:rFonts w:ascii="Times New Roman" w:hAnsi="Times New Roman" w:cs="Times New Roman"/>
          <w:bCs/>
          <w:sz w:val="24"/>
          <w:szCs w:val="24"/>
        </w:rPr>
        <w:t>,</w:t>
      </w:r>
      <w:r w:rsidR="006173EB" w:rsidRPr="00EF153E">
        <w:rPr>
          <w:rStyle w:val="zmsearchresult"/>
          <w:rFonts w:ascii="Times New Roman" w:hAnsi="Times New Roman" w:cs="Times New Roman"/>
          <w:bCs/>
          <w:sz w:val="24"/>
          <w:szCs w:val="24"/>
        </w:rPr>
        <w:t xml:space="preserve"> S</w:t>
      </w:r>
      <w:r w:rsidRPr="00EF153E">
        <w:rPr>
          <w:rStyle w:val="zmsearchresult"/>
          <w:rFonts w:ascii="Times New Roman" w:hAnsi="Times New Roman" w:cs="Times New Roman"/>
          <w:bCs/>
          <w:sz w:val="24"/>
          <w:szCs w:val="24"/>
        </w:rPr>
        <w:t>ector</w:t>
      </w:r>
      <w:r w:rsidR="006173EB" w:rsidRPr="00EF153E">
        <w:rPr>
          <w:rStyle w:val="zmsearchresult"/>
          <w:rFonts w:ascii="Times New Roman" w:hAnsi="Times New Roman" w:cs="Times New Roman"/>
          <w:bCs/>
          <w:sz w:val="24"/>
          <w:szCs w:val="24"/>
        </w:rPr>
        <w:t>wise and classwise</w:t>
      </w:r>
      <w:r w:rsidRPr="00EF153E">
        <w:rPr>
          <w:rStyle w:val="zmsearchresult"/>
          <w:rFonts w:ascii="Times New Roman" w:hAnsi="Times New Roman" w:cs="Times New Roman"/>
          <w:bCs/>
          <w:sz w:val="24"/>
          <w:szCs w:val="24"/>
        </w:rPr>
        <w:t xml:space="preserve"> details of guarantees are disclosed in Statements 9 and 20</w:t>
      </w:r>
      <w:r w:rsidR="003571F7" w:rsidRPr="00EF153E">
        <w:rPr>
          <w:rStyle w:val="zmsearchresult"/>
          <w:rFonts w:ascii="Times New Roman" w:hAnsi="Times New Roman" w:cs="Times New Roman"/>
          <w:bCs/>
          <w:sz w:val="24"/>
          <w:szCs w:val="24"/>
        </w:rPr>
        <w:t xml:space="preserve"> of the Finance Accounts as per the</w:t>
      </w:r>
      <w:r w:rsidRPr="00EF153E">
        <w:rPr>
          <w:rStyle w:val="zmsearchresult"/>
          <w:rFonts w:ascii="Times New Roman" w:hAnsi="Times New Roman" w:cs="Times New Roman"/>
          <w:bCs/>
          <w:sz w:val="24"/>
          <w:szCs w:val="24"/>
        </w:rPr>
        <w:t xml:space="preserve"> details made available by the State Government. </w:t>
      </w:r>
    </w:p>
    <w:p w14:paraId="5C567DA1" w14:textId="6ED42EAD" w:rsidR="00275400" w:rsidRDefault="00BC6B3E" w:rsidP="00B90901">
      <w:pPr>
        <w:widowControl w:val="0"/>
        <w:autoSpaceDE w:val="0"/>
        <w:autoSpaceDN w:val="0"/>
        <w:adjustRightInd w:val="0"/>
        <w:spacing w:before="240" w:after="240" w:line="288" w:lineRule="auto"/>
        <w:ind w:left="360"/>
        <w:jc w:val="both"/>
        <w:rPr>
          <w:rStyle w:val="zmsearchresult"/>
          <w:rFonts w:ascii="Times New Roman" w:hAnsi="Times New Roman" w:cs="Times New Roman"/>
          <w:b/>
          <w:i/>
          <w:iCs/>
          <w:sz w:val="24"/>
          <w:szCs w:val="24"/>
        </w:rPr>
      </w:pPr>
      <w:r w:rsidRPr="00EF153E">
        <w:rPr>
          <w:rStyle w:val="zmsearchresult"/>
          <w:rFonts w:ascii="Times New Roman" w:hAnsi="Times New Roman" w:cs="Times New Roman"/>
          <w:bCs/>
          <w:sz w:val="24"/>
          <w:szCs w:val="24"/>
        </w:rPr>
        <w:t>The Government does not follow commitment accounting and the commitments are neither recorded nor the liability against commitment recognised in accounts, but it discloses its future commitments under Appendix XII of the Finance Accounts.</w:t>
      </w:r>
      <w:r w:rsidR="00F02B56" w:rsidRPr="00EF153E">
        <w:rPr>
          <w:rStyle w:val="zmsearchresult"/>
          <w:rFonts w:ascii="Times New Roman" w:hAnsi="Times New Roman" w:cs="Times New Roman"/>
          <w:b/>
          <w:i/>
          <w:iCs/>
          <w:sz w:val="24"/>
          <w:szCs w:val="24"/>
        </w:rPr>
        <w:t xml:space="preserve"> </w:t>
      </w:r>
    </w:p>
    <w:p w14:paraId="50F5E30E" w14:textId="77777777" w:rsidR="00886726" w:rsidRPr="00EF153E" w:rsidRDefault="00886726" w:rsidP="00FC1E42">
      <w:pPr>
        <w:pStyle w:val="ListParagraph"/>
        <w:widowControl w:val="0"/>
        <w:numPr>
          <w:ilvl w:val="0"/>
          <w:numId w:val="16"/>
        </w:numPr>
        <w:autoSpaceDE w:val="0"/>
        <w:autoSpaceDN w:val="0"/>
        <w:adjustRightInd w:val="0"/>
        <w:spacing w:before="120" w:after="240" w:line="240" w:lineRule="auto"/>
        <w:ind w:left="1077"/>
        <w:contextualSpacing w:val="0"/>
        <w:jc w:val="both"/>
        <w:rPr>
          <w:rStyle w:val="zmsearchresult"/>
          <w:rFonts w:ascii="Times New Roman" w:hAnsi="Times New Roman" w:cs="Times New Roman"/>
          <w:b/>
          <w:sz w:val="24"/>
          <w:szCs w:val="24"/>
        </w:rPr>
      </w:pPr>
      <w:r w:rsidRPr="00EF153E">
        <w:rPr>
          <w:rStyle w:val="zmsearchresult"/>
          <w:rFonts w:ascii="Times New Roman" w:hAnsi="Times New Roman" w:cs="Times New Roman"/>
          <w:b/>
          <w:sz w:val="24"/>
          <w:szCs w:val="24"/>
        </w:rPr>
        <w:t>Pass-through transactions:</w:t>
      </w:r>
    </w:p>
    <w:p w14:paraId="041464AF" w14:textId="77777777" w:rsidR="00886726" w:rsidRPr="00EF153E" w:rsidRDefault="00886726" w:rsidP="00152239">
      <w:pPr>
        <w:widowControl w:val="0"/>
        <w:autoSpaceDE w:val="0"/>
        <w:autoSpaceDN w:val="0"/>
        <w:adjustRightInd w:val="0"/>
        <w:spacing w:before="80" w:line="288" w:lineRule="auto"/>
        <w:ind w:left="357"/>
        <w:jc w:val="both"/>
        <w:rPr>
          <w:rStyle w:val="zmsearchresult"/>
          <w:rFonts w:ascii="Times New Roman" w:hAnsi="Times New Roman" w:cs="Times New Roman"/>
          <w:bCs/>
          <w:sz w:val="24"/>
          <w:szCs w:val="24"/>
        </w:rPr>
      </w:pPr>
      <w:r w:rsidRPr="00EF153E">
        <w:rPr>
          <w:rStyle w:val="zmsearchresult"/>
          <w:rFonts w:ascii="Times New Roman" w:hAnsi="Times New Roman" w:cs="Times New Roman"/>
          <w:bCs/>
          <w:sz w:val="24"/>
          <w:szCs w:val="24"/>
        </w:rPr>
        <w:t xml:space="preserve">Pass-through transactions in the nature of receipts collected by the State but </w:t>
      </w:r>
      <w:r w:rsidR="00BC6B3E" w:rsidRPr="00EF153E">
        <w:rPr>
          <w:rStyle w:val="zmsearchresult"/>
          <w:rFonts w:ascii="Times New Roman" w:hAnsi="Times New Roman" w:cs="Times New Roman"/>
          <w:bCs/>
          <w:sz w:val="24"/>
          <w:szCs w:val="24"/>
        </w:rPr>
        <w:t>required to be</w:t>
      </w:r>
      <w:r w:rsidR="00AE5FA9" w:rsidRPr="00EF153E">
        <w:rPr>
          <w:rStyle w:val="zmsearchresult"/>
          <w:rFonts w:ascii="Times New Roman" w:hAnsi="Times New Roman" w:cs="Times New Roman"/>
          <w:bCs/>
          <w:sz w:val="24"/>
          <w:szCs w:val="24"/>
        </w:rPr>
        <w:t xml:space="preserve"> </w:t>
      </w:r>
      <w:r w:rsidRPr="00EF153E">
        <w:rPr>
          <w:rStyle w:val="zmsearchresult"/>
          <w:rFonts w:ascii="Times New Roman" w:hAnsi="Times New Roman" w:cs="Times New Roman"/>
          <w:bCs/>
          <w:sz w:val="24"/>
          <w:szCs w:val="24"/>
        </w:rPr>
        <w:t>transfer</w:t>
      </w:r>
      <w:r w:rsidR="00BC6B3E" w:rsidRPr="00EF153E">
        <w:rPr>
          <w:rStyle w:val="zmsearchresult"/>
          <w:rFonts w:ascii="Times New Roman" w:hAnsi="Times New Roman" w:cs="Times New Roman"/>
          <w:bCs/>
          <w:sz w:val="24"/>
          <w:szCs w:val="24"/>
        </w:rPr>
        <w:t>red</w:t>
      </w:r>
      <w:r w:rsidRPr="00EF153E">
        <w:rPr>
          <w:rStyle w:val="zmsearchresult"/>
          <w:rFonts w:ascii="Times New Roman" w:hAnsi="Times New Roman" w:cs="Times New Roman"/>
          <w:bCs/>
          <w:sz w:val="24"/>
          <w:szCs w:val="24"/>
        </w:rPr>
        <w:t xml:space="preserve"> to other entity </w:t>
      </w:r>
      <w:r w:rsidR="0097435B" w:rsidRPr="00EF153E">
        <w:rPr>
          <w:rStyle w:val="zmsearchresult"/>
          <w:rFonts w:ascii="Times New Roman" w:hAnsi="Times New Roman" w:cs="Times New Roman"/>
          <w:bCs/>
          <w:sz w:val="24"/>
          <w:szCs w:val="24"/>
        </w:rPr>
        <w:t>are</w:t>
      </w:r>
      <w:r w:rsidRPr="00EF153E">
        <w:rPr>
          <w:rStyle w:val="zmsearchresult"/>
          <w:rFonts w:ascii="Times New Roman" w:hAnsi="Times New Roman" w:cs="Times New Roman"/>
          <w:bCs/>
          <w:sz w:val="24"/>
          <w:szCs w:val="24"/>
        </w:rPr>
        <w:t xml:space="preserve"> disclosed in the Notes to </w:t>
      </w:r>
      <w:r w:rsidR="0006585B" w:rsidRPr="00EF153E">
        <w:rPr>
          <w:rStyle w:val="zmsearchresult"/>
          <w:rFonts w:ascii="Times New Roman" w:hAnsi="Times New Roman" w:cs="Times New Roman"/>
          <w:bCs/>
          <w:sz w:val="24"/>
          <w:szCs w:val="24"/>
        </w:rPr>
        <w:t xml:space="preserve">Finance </w:t>
      </w:r>
      <w:r w:rsidRPr="00EF153E">
        <w:rPr>
          <w:rStyle w:val="zmsearchresult"/>
          <w:rFonts w:ascii="Times New Roman" w:hAnsi="Times New Roman" w:cs="Times New Roman"/>
          <w:bCs/>
          <w:sz w:val="24"/>
          <w:szCs w:val="24"/>
        </w:rPr>
        <w:t xml:space="preserve">Accounts. These include transfer of 10 </w:t>
      </w:r>
      <w:r w:rsidRPr="00EF153E">
        <w:rPr>
          <w:rStyle w:val="zmsearchresult"/>
          <w:rFonts w:ascii="Times New Roman" w:hAnsi="Times New Roman" w:cs="Times New Roman"/>
          <w:bCs/>
          <w:i/>
          <w:iCs/>
          <w:sz w:val="24"/>
          <w:szCs w:val="24"/>
        </w:rPr>
        <w:t>per cent</w:t>
      </w:r>
      <w:r w:rsidRPr="00EF153E">
        <w:rPr>
          <w:rStyle w:val="zmsearchresult"/>
          <w:rFonts w:ascii="Times New Roman" w:hAnsi="Times New Roman" w:cs="Times New Roman"/>
          <w:bCs/>
          <w:sz w:val="24"/>
          <w:szCs w:val="24"/>
        </w:rPr>
        <w:t xml:space="preserve"> of the collection of the year in the State CAMPA Fund to the National Fund on annual basis. </w:t>
      </w:r>
    </w:p>
    <w:p w14:paraId="1D6743D3" w14:textId="77777777" w:rsidR="00261D85" w:rsidRPr="00EF153E" w:rsidRDefault="004B4CCE" w:rsidP="00FC1E42">
      <w:pPr>
        <w:pStyle w:val="ListParagraph"/>
        <w:widowControl w:val="0"/>
        <w:numPr>
          <w:ilvl w:val="0"/>
          <w:numId w:val="15"/>
        </w:numPr>
        <w:autoSpaceDE w:val="0"/>
        <w:autoSpaceDN w:val="0"/>
        <w:adjustRightInd w:val="0"/>
        <w:spacing w:before="240" w:after="240" w:line="240" w:lineRule="auto"/>
        <w:ind w:left="357" w:hanging="357"/>
        <w:contextualSpacing w:val="0"/>
        <w:jc w:val="both"/>
        <w:rPr>
          <w:rFonts w:ascii="Times New Roman" w:hAnsi="Times New Roman" w:cs="Times New Roman"/>
          <w:b/>
          <w:sz w:val="24"/>
          <w:szCs w:val="24"/>
        </w:rPr>
      </w:pPr>
      <w:r w:rsidRPr="00EF153E">
        <w:rPr>
          <w:rFonts w:ascii="Times New Roman" w:hAnsi="Times New Roman" w:cs="Times New Roman"/>
          <w:b/>
          <w:sz w:val="24"/>
          <w:szCs w:val="24"/>
        </w:rPr>
        <w:t xml:space="preserve">Compliance </w:t>
      </w:r>
      <w:r w:rsidR="00AA2A81" w:rsidRPr="00EF153E">
        <w:rPr>
          <w:rFonts w:ascii="Times New Roman" w:hAnsi="Times New Roman" w:cs="Times New Roman"/>
          <w:b/>
          <w:sz w:val="24"/>
          <w:szCs w:val="24"/>
        </w:rPr>
        <w:t>with</w:t>
      </w:r>
      <w:r w:rsidRPr="00EF153E">
        <w:rPr>
          <w:rFonts w:ascii="Times New Roman" w:hAnsi="Times New Roman" w:cs="Times New Roman"/>
          <w:b/>
          <w:sz w:val="24"/>
          <w:szCs w:val="24"/>
        </w:rPr>
        <w:t xml:space="preserve"> the </w:t>
      </w:r>
      <w:r w:rsidR="00261D85" w:rsidRPr="00EF153E">
        <w:rPr>
          <w:rFonts w:ascii="Times New Roman" w:hAnsi="Times New Roman" w:cs="Times New Roman"/>
          <w:b/>
          <w:sz w:val="24"/>
          <w:szCs w:val="24"/>
        </w:rPr>
        <w:t>Accounting Framework:</w:t>
      </w:r>
    </w:p>
    <w:p w14:paraId="1DA1BC9D" w14:textId="77777777" w:rsidR="00E92636" w:rsidRPr="00EF153E" w:rsidRDefault="00AA469F" w:rsidP="00FC1E42">
      <w:pPr>
        <w:pStyle w:val="ListParagraph"/>
        <w:widowControl w:val="0"/>
        <w:numPr>
          <w:ilvl w:val="0"/>
          <w:numId w:val="17"/>
        </w:numPr>
        <w:autoSpaceDE w:val="0"/>
        <w:autoSpaceDN w:val="0"/>
        <w:adjustRightInd w:val="0"/>
        <w:spacing w:before="240" w:after="240" w:line="288" w:lineRule="auto"/>
        <w:ind w:left="1077"/>
        <w:contextualSpacing w:val="0"/>
        <w:jc w:val="both"/>
        <w:rPr>
          <w:rFonts w:ascii="Times New Roman" w:hAnsi="Times New Roman" w:cs="Times New Roman"/>
          <w:bCs/>
          <w:iCs/>
          <w:sz w:val="24"/>
          <w:szCs w:val="24"/>
        </w:rPr>
      </w:pPr>
      <w:r w:rsidRPr="00EF153E">
        <w:rPr>
          <w:rFonts w:ascii="Times New Roman" w:hAnsi="Times New Roman" w:cs="Times New Roman"/>
          <w:b/>
          <w:iCs/>
          <w:sz w:val="24"/>
          <w:szCs w:val="24"/>
          <w:lang w:val="en-IN"/>
        </w:rPr>
        <w:t>Operation</w:t>
      </w:r>
      <w:r w:rsidRPr="00EF153E">
        <w:rPr>
          <w:rFonts w:ascii="Times New Roman" w:hAnsi="Times New Roman" w:cs="Times New Roman"/>
          <w:b/>
          <w:bCs/>
          <w:sz w:val="24"/>
          <w:szCs w:val="24"/>
        </w:rPr>
        <w:t xml:space="preserve"> of unauthorized heads:</w:t>
      </w:r>
    </w:p>
    <w:p w14:paraId="60CD8709" w14:textId="77A10394" w:rsidR="00AA469F" w:rsidRPr="00EF153E" w:rsidRDefault="00AA469F" w:rsidP="00E92636">
      <w:pPr>
        <w:widowControl w:val="0"/>
        <w:autoSpaceDE w:val="0"/>
        <w:autoSpaceDN w:val="0"/>
        <w:adjustRightInd w:val="0"/>
        <w:spacing w:before="120" w:after="120" w:line="288" w:lineRule="auto"/>
        <w:ind w:left="360"/>
        <w:jc w:val="both"/>
        <w:rPr>
          <w:rFonts w:ascii="Times New Roman" w:hAnsi="Times New Roman" w:cs="Times New Roman"/>
          <w:bCs/>
          <w:iCs/>
          <w:sz w:val="24"/>
          <w:szCs w:val="24"/>
        </w:rPr>
      </w:pPr>
      <w:r w:rsidRPr="00EF153E">
        <w:rPr>
          <w:rFonts w:ascii="Times New Roman" w:hAnsi="Times New Roman" w:cs="Times New Roman"/>
          <w:sz w:val="24"/>
          <w:szCs w:val="24"/>
        </w:rPr>
        <w:t xml:space="preserve">During </w:t>
      </w:r>
      <w:r w:rsidR="007C1EA2" w:rsidRPr="00EF153E">
        <w:rPr>
          <w:rFonts w:ascii="Times New Roman" w:hAnsi="Times New Roman" w:cs="Times New Roman"/>
          <w:sz w:val="24"/>
          <w:szCs w:val="24"/>
        </w:rPr>
        <w:t>202</w:t>
      </w:r>
      <w:r w:rsidR="00EF4A85">
        <w:rPr>
          <w:rFonts w:ascii="Times New Roman" w:hAnsi="Times New Roman" w:cs="Times New Roman"/>
          <w:sz w:val="24"/>
          <w:szCs w:val="24"/>
        </w:rPr>
        <w:t>2</w:t>
      </w:r>
      <w:r w:rsidR="007C1EA2" w:rsidRPr="00EF153E">
        <w:rPr>
          <w:rFonts w:ascii="Times New Roman" w:hAnsi="Times New Roman" w:cs="Times New Roman"/>
          <w:sz w:val="24"/>
          <w:szCs w:val="24"/>
        </w:rPr>
        <w:t>-2</w:t>
      </w:r>
      <w:r w:rsidR="00EF4A85">
        <w:rPr>
          <w:rFonts w:ascii="Times New Roman" w:hAnsi="Times New Roman" w:cs="Times New Roman"/>
          <w:sz w:val="24"/>
          <w:szCs w:val="24"/>
        </w:rPr>
        <w:t>3</w:t>
      </w:r>
      <w:r w:rsidRPr="00EF153E">
        <w:rPr>
          <w:rFonts w:ascii="Times New Roman" w:hAnsi="Times New Roman" w:cs="Times New Roman"/>
          <w:sz w:val="24"/>
          <w:szCs w:val="24"/>
        </w:rPr>
        <w:t xml:space="preserve">, the State Government of </w:t>
      </w:r>
      <w:r w:rsidR="007C1EA2" w:rsidRPr="00EF153E">
        <w:rPr>
          <w:rFonts w:ascii="Times New Roman" w:hAnsi="Times New Roman" w:cs="Times New Roman"/>
          <w:sz w:val="24"/>
          <w:szCs w:val="24"/>
        </w:rPr>
        <w:t>Manipur</w:t>
      </w:r>
      <w:r w:rsidRPr="00EF153E">
        <w:rPr>
          <w:rFonts w:ascii="Times New Roman" w:hAnsi="Times New Roman" w:cs="Times New Roman"/>
          <w:sz w:val="24"/>
          <w:szCs w:val="24"/>
        </w:rPr>
        <w:t xml:space="preserve"> provided budget provisions under </w:t>
      </w:r>
      <w:r w:rsidR="00480848">
        <w:rPr>
          <w:rFonts w:ascii="Times New Roman" w:hAnsi="Times New Roman" w:cs="Times New Roman"/>
          <w:sz w:val="24"/>
          <w:szCs w:val="24"/>
        </w:rPr>
        <w:t xml:space="preserve">4 </w:t>
      </w:r>
      <w:r w:rsidRPr="00EF153E">
        <w:rPr>
          <w:rFonts w:ascii="Times New Roman" w:hAnsi="Times New Roman" w:cs="Times New Roman"/>
          <w:sz w:val="24"/>
          <w:szCs w:val="24"/>
        </w:rPr>
        <w:t xml:space="preserve">unauthorized </w:t>
      </w:r>
      <w:r w:rsidR="00106575">
        <w:rPr>
          <w:rFonts w:ascii="Times New Roman" w:hAnsi="Times New Roman" w:cs="Times New Roman"/>
          <w:sz w:val="24"/>
          <w:szCs w:val="24"/>
        </w:rPr>
        <w:t>Sub-Major Head/</w:t>
      </w:r>
      <w:r w:rsidR="00365B6F">
        <w:rPr>
          <w:rFonts w:ascii="Times New Roman" w:hAnsi="Times New Roman" w:cs="Times New Roman"/>
          <w:sz w:val="24"/>
          <w:szCs w:val="24"/>
        </w:rPr>
        <w:t>Minor</w:t>
      </w:r>
      <w:r w:rsidR="00480848">
        <w:rPr>
          <w:rFonts w:ascii="Times New Roman" w:hAnsi="Times New Roman" w:cs="Times New Roman"/>
          <w:sz w:val="24"/>
          <w:szCs w:val="24"/>
        </w:rPr>
        <w:t xml:space="preserve"> Heads (3</w:t>
      </w:r>
      <w:r w:rsidR="00DB51F5" w:rsidRPr="00EF153E">
        <w:rPr>
          <w:rFonts w:ascii="Times New Roman" w:hAnsi="Times New Roman" w:cs="Times New Roman"/>
          <w:sz w:val="24"/>
          <w:szCs w:val="24"/>
        </w:rPr>
        <w:t xml:space="preserve"> under the Revenue Section and</w:t>
      </w:r>
      <w:r w:rsidRPr="00EF153E">
        <w:rPr>
          <w:rFonts w:ascii="Times New Roman" w:hAnsi="Times New Roman" w:cs="Times New Roman"/>
          <w:sz w:val="24"/>
          <w:szCs w:val="24"/>
        </w:rPr>
        <w:t xml:space="preserve"> </w:t>
      </w:r>
      <w:r w:rsidR="00644805">
        <w:rPr>
          <w:rFonts w:ascii="Times New Roman" w:hAnsi="Times New Roman" w:cs="Times New Roman"/>
          <w:sz w:val="24"/>
          <w:szCs w:val="24"/>
        </w:rPr>
        <w:t>1</w:t>
      </w:r>
      <w:r w:rsidR="004D33C7" w:rsidRPr="00EF153E">
        <w:rPr>
          <w:rFonts w:ascii="Times New Roman" w:hAnsi="Times New Roman" w:cs="Times New Roman"/>
          <w:sz w:val="24"/>
          <w:szCs w:val="24"/>
        </w:rPr>
        <w:t xml:space="preserve"> under Capital S</w:t>
      </w:r>
      <w:r w:rsidRPr="00EF153E">
        <w:rPr>
          <w:rFonts w:ascii="Times New Roman" w:hAnsi="Times New Roman" w:cs="Times New Roman"/>
          <w:sz w:val="24"/>
          <w:szCs w:val="24"/>
        </w:rPr>
        <w:t xml:space="preserve">ection) and incurred expenditure of </w:t>
      </w:r>
      <w:r w:rsidR="00EF153E">
        <w:rPr>
          <w:rFonts w:ascii="Times New Roman" w:hAnsi="Times New Roman" w:cs="Times New Roman"/>
          <w:sz w:val="24"/>
          <w:szCs w:val="24"/>
        </w:rPr>
        <w:t>₹</w:t>
      </w:r>
      <w:r w:rsidR="00480848">
        <w:rPr>
          <w:rFonts w:ascii="Times New Roman" w:hAnsi="Times New Roman" w:cs="Times New Roman"/>
          <w:sz w:val="24"/>
          <w:szCs w:val="24"/>
        </w:rPr>
        <w:t>51.79</w:t>
      </w:r>
      <w:r w:rsidRPr="00EF153E">
        <w:rPr>
          <w:rFonts w:ascii="Times New Roman" w:hAnsi="Times New Roman" w:cs="Times New Roman"/>
          <w:sz w:val="24"/>
          <w:szCs w:val="24"/>
        </w:rPr>
        <w:t xml:space="preserve"> crore under the Revenue Section and </w:t>
      </w:r>
      <w:r w:rsidR="00EF153E">
        <w:rPr>
          <w:rFonts w:ascii="Times New Roman" w:hAnsi="Times New Roman" w:cs="Times New Roman"/>
          <w:sz w:val="24"/>
          <w:szCs w:val="24"/>
        </w:rPr>
        <w:t>₹</w:t>
      </w:r>
      <w:r w:rsidR="00480848">
        <w:rPr>
          <w:rFonts w:ascii="Times New Roman" w:hAnsi="Times New Roman" w:cs="Times New Roman"/>
          <w:sz w:val="24"/>
          <w:szCs w:val="24"/>
        </w:rPr>
        <w:t>19.84</w:t>
      </w:r>
      <w:r w:rsidRPr="00EF153E">
        <w:rPr>
          <w:rFonts w:ascii="Times New Roman" w:hAnsi="Times New Roman" w:cs="Times New Roman"/>
          <w:sz w:val="24"/>
          <w:szCs w:val="24"/>
        </w:rPr>
        <w:t xml:space="preserve"> crore under the Capital Section in these heads.</w:t>
      </w:r>
      <w:r w:rsidR="00744DE3">
        <w:rPr>
          <w:rFonts w:ascii="Times New Roman" w:hAnsi="Times New Roman" w:cs="Times New Roman"/>
          <w:sz w:val="24"/>
          <w:szCs w:val="24"/>
        </w:rPr>
        <w:t xml:space="preserve"> </w:t>
      </w:r>
      <w:r w:rsidR="00911895">
        <w:rPr>
          <w:rFonts w:ascii="Times New Roman" w:hAnsi="Times New Roman" w:cs="Times New Roman"/>
          <w:sz w:val="24"/>
          <w:szCs w:val="24"/>
        </w:rPr>
        <w:t xml:space="preserve">The matter has been taken up with State Government. </w:t>
      </w:r>
      <w:r w:rsidR="006C4A49">
        <w:rPr>
          <w:rFonts w:ascii="Times New Roman" w:hAnsi="Times New Roman" w:cs="Times New Roman"/>
          <w:sz w:val="24"/>
          <w:szCs w:val="24"/>
        </w:rPr>
        <w:t xml:space="preserve">  </w:t>
      </w:r>
    </w:p>
    <w:p w14:paraId="47C2405B" w14:textId="77777777" w:rsidR="00E92636" w:rsidRPr="00EF153E" w:rsidRDefault="00AA469F" w:rsidP="00FC1E42">
      <w:pPr>
        <w:pStyle w:val="ListParagraph"/>
        <w:widowControl w:val="0"/>
        <w:numPr>
          <w:ilvl w:val="0"/>
          <w:numId w:val="17"/>
        </w:numPr>
        <w:autoSpaceDE w:val="0"/>
        <w:autoSpaceDN w:val="0"/>
        <w:adjustRightInd w:val="0"/>
        <w:spacing w:before="240" w:after="240" w:line="288" w:lineRule="auto"/>
        <w:ind w:left="1077"/>
        <w:contextualSpacing w:val="0"/>
        <w:jc w:val="both"/>
        <w:rPr>
          <w:rFonts w:ascii="Times New Roman" w:hAnsi="Times New Roman" w:cs="Times New Roman"/>
          <w:sz w:val="24"/>
          <w:szCs w:val="24"/>
        </w:rPr>
      </w:pPr>
      <w:r w:rsidRPr="00EF153E">
        <w:rPr>
          <w:rFonts w:ascii="Times New Roman" w:hAnsi="Times New Roman" w:cs="Times New Roman"/>
          <w:b/>
          <w:iCs/>
          <w:sz w:val="24"/>
          <w:szCs w:val="24"/>
          <w:lang w:val="en-IN"/>
        </w:rPr>
        <w:t>Opening</w:t>
      </w:r>
      <w:r w:rsidRPr="00EF153E">
        <w:rPr>
          <w:rFonts w:ascii="Times New Roman" w:hAnsi="Times New Roman" w:cs="Times New Roman"/>
          <w:b/>
          <w:sz w:val="24"/>
          <w:szCs w:val="24"/>
        </w:rPr>
        <w:t xml:space="preserve"> of New Sub Heads/Detailed Heads of Accounts without advice:</w:t>
      </w:r>
    </w:p>
    <w:p w14:paraId="022BC5F8" w14:textId="56674240" w:rsidR="00AA469F" w:rsidRPr="005D621A" w:rsidRDefault="00E41168" w:rsidP="005D621A">
      <w:pPr>
        <w:widowControl w:val="0"/>
        <w:autoSpaceDE w:val="0"/>
        <w:autoSpaceDN w:val="0"/>
        <w:adjustRightInd w:val="0"/>
        <w:spacing w:before="120" w:after="120" w:line="288" w:lineRule="auto"/>
        <w:ind w:left="360"/>
        <w:jc w:val="both"/>
        <w:rPr>
          <w:rFonts w:ascii="Times New Roman" w:hAnsi="Times New Roman" w:cs="Times New Roman"/>
          <w:bCs/>
          <w:iCs/>
          <w:sz w:val="24"/>
          <w:szCs w:val="24"/>
        </w:rPr>
      </w:pPr>
      <w:r w:rsidRPr="00EF153E">
        <w:rPr>
          <w:rFonts w:ascii="Times New Roman" w:hAnsi="Times New Roman" w:cs="Times New Roman"/>
          <w:bCs/>
          <w:sz w:val="24"/>
          <w:szCs w:val="24"/>
        </w:rPr>
        <w:t xml:space="preserve">According to Article 150 of the Constitution of India the accounts of the State are to be kept in the form as advised by </w:t>
      </w:r>
      <w:r w:rsidR="00481A92" w:rsidRPr="00EF153E">
        <w:rPr>
          <w:rStyle w:val="zmsearchresult"/>
          <w:rFonts w:ascii="Times New Roman" w:hAnsi="Times New Roman" w:cs="Times New Roman"/>
          <w:bCs/>
          <w:sz w:val="24"/>
          <w:szCs w:val="24"/>
        </w:rPr>
        <w:t>the Comptroller and Auditor General of India</w:t>
      </w:r>
      <w:r w:rsidRPr="00EF153E">
        <w:rPr>
          <w:rFonts w:ascii="Times New Roman" w:hAnsi="Times New Roman" w:cs="Times New Roman"/>
          <w:bCs/>
          <w:sz w:val="24"/>
          <w:szCs w:val="24"/>
        </w:rPr>
        <w:t xml:space="preserve">.  During </w:t>
      </w:r>
      <w:r w:rsidR="007C1EA2" w:rsidRPr="00EF153E">
        <w:rPr>
          <w:rFonts w:ascii="Times New Roman" w:hAnsi="Times New Roman" w:cs="Times New Roman"/>
          <w:bCs/>
          <w:sz w:val="24"/>
          <w:szCs w:val="24"/>
        </w:rPr>
        <w:t>202</w:t>
      </w:r>
      <w:r w:rsidR="00EF4A85">
        <w:rPr>
          <w:rFonts w:ascii="Times New Roman" w:hAnsi="Times New Roman" w:cs="Times New Roman"/>
          <w:bCs/>
          <w:sz w:val="24"/>
          <w:szCs w:val="24"/>
        </w:rPr>
        <w:t>2</w:t>
      </w:r>
      <w:r w:rsidR="007C1EA2" w:rsidRPr="00EF153E">
        <w:rPr>
          <w:rFonts w:ascii="Times New Roman" w:hAnsi="Times New Roman" w:cs="Times New Roman"/>
          <w:bCs/>
          <w:sz w:val="24"/>
          <w:szCs w:val="24"/>
        </w:rPr>
        <w:t>-2</w:t>
      </w:r>
      <w:r w:rsidR="00EF4A85">
        <w:rPr>
          <w:rFonts w:ascii="Times New Roman" w:hAnsi="Times New Roman" w:cs="Times New Roman"/>
          <w:bCs/>
          <w:sz w:val="24"/>
          <w:szCs w:val="24"/>
        </w:rPr>
        <w:t>3</w:t>
      </w:r>
      <w:r w:rsidRPr="00EF153E">
        <w:rPr>
          <w:rFonts w:ascii="Times New Roman" w:hAnsi="Times New Roman" w:cs="Times New Roman"/>
          <w:bCs/>
          <w:sz w:val="24"/>
          <w:szCs w:val="24"/>
        </w:rPr>
        <w:t xml:space="preserve">, the State Government of </w:t>
      </w:r>
      <w:r w:rsidR="007C1EA2" w:rsidRPr="00EF153E">
        <w:rPr>
          <w:rFonts w:ascii="Times New Roman" w:hAnsi="Times New Roman" w:cs="Times New Roman"/>
          <w:bCs/>
          <w:sz w:val="24"/>
          <w:szCs w:val="24"/>
        </w:rPr>
        <w:t>Manipur</w:t>
      </w:r>
      <w:r w:rsidRPr="00EF153E">
        <w:rPr>
          <w:rFonts w:ascii="Times New Roman" w:hAnsi="Times New Roman" w:cs="Times New Roman"/>
          <w:bCs/>
          <w:sz w:val="24"/>
          <w:szCs w:val="24"/>
        </w:rPr>
        <w:t xml:space="preserve"> opened </w:t>
      </w:r>
      <w:r w:rsidR="000241E6">
        <w:rPr>
          <w:rFonts w:ascii="Times New Roman" w:hAnsi="Times New Roman" w:cs="Times New Roman"/>
          <w:bCs/>
          <w:sz w:val="24"/>
          <w:szCs w:val="24"/>
        </w:rPr>
        <w:t>141</w:t>
      </w:r>
      <w:r w:rsidR="00744DE3">
        <w:rPr>
          <w:rFonts w:ascii="Times New Roman" w:hAnsi="Times New Roman" w:cs="Times New Roman"/>
          <w:bCs/>
          <w:sz w:val="24"/>
          <w:szCs w:val="24"/>
        </w:rPr>
        <w:t xml:space="preserve"> </w:t>
      </w:r>
      <w:r w:rsidRPr="00EF153E">
        <w:rPr>
          <w:rFonts w:ascii="Times New Roman" w:hAnsi="Times New Roman" w:cs="Times New Roman"/>
          <w:bCs/>
          <w:sz w:val="24"/>
          <w:szCs w:val="24"/>
        </w:rPr>
        <w:t>new Sub Heads</w:t>
      </w:r>
      <w:r w:rsidR="00AE696C">
        <w:rPr>
          <w:rFonts w:ascii="Times New Roman" w:hAnsi="Times New Roman" w:cs="Times New Roman"/>
          <w:bCs/>
          <w:sz w:val="24"/>
          <w:szCs w:val="24"/>
        </w:rPr>
        <w:t>/Detailed Heads</w:t>
      </w:r>
      <w:r w:rsidRPr="00EF153E">
        <w:rPr>
          <w:rFonts w:ascii="Times New Roman" w:hAnsi="Times New Roman" w:cs="Times New Roman"/>
          <w:bCs/>
          <w:sz w:val="24"/>
          <w:szCs w:val="24"/>
        </w:rPr>
        <w:t xml:space="preserve"> (</w:t>
      </w:r>
      <w:r w:rsidR="000241E6">
        <w:rPr>
          <w:rFonts w:ascii="Times New Roman" w:hAnsi="Times New Roman" w:cs="Times New Roman"/>
          <w:bCs/>
          <w:sz w:val="24"/>
          <w:szCs w:val="24"/>
        </w:rPr>
        <w:t>95</w:t>
      </w:r>
      <w:r w:rsidRPr="00EF153E">
        <w:rPr>
          <w:rFonts w:ascii="Times New Roman" w:hAnsi="Times New Roman" w:cs="Times New Roman"/>
          <w:bCs/>
          <w:sz w:val="24"/>
          <w:szCs w:val="24"/>
        </w:rPr>
        <w:t xml:space="preserve"> under the Revenue Section, </w:t>
      </w:r>
      <w:r w:rsidR="000241E6">
        <w:rPr>
          <w:rFonts w:ascii="Times New Roman" w:hAnsi="Times New Roman" w:cs="Times New Roman"/>
          <w:bCs/>
          <w:sz w:val="24"/>
          <w:szCs w:val="24"/>
        </w:rPr>
        <w:t>46</w:t>
      </w:r>
      <w:r w:rsidR="004D33C7" w:rsidRPr="00EF153E">
        <w:rPr>
          <w:rFonts w:ascii="Times New Roman" w:hAnsi="Times New Roman" w:cs="Times New Roman"/>
          <w:bCs/>
          <w:sz w:val="24"/>
          <w:szCs w:val="24"/>
        </w:rPr>
        <w:t xml:space="preserve"> under Capital S</w:t>
      </w:r>
      <w:r w:rsidRPr="00EF153E">
        <w:rPr>
          <w:rFonts w:ascii="Times New Roman" w:hAnsi="Times New Roman" w:cs="Times New Roman"/>
          <w:bCs/>
          <w:sz w:val="24"/>
          <w:szCs w:val="24"/>
        </w:rPr>
        <w:t xml:space="preserve">ection) in the budget, without seeking the advice of the </w:t>
      </w:r>
      <w:r w:rsidR="00481A92" w:rsidRPr="00EF153E">
        <w:rPr>
          <w:rStyle w:val="zmsearchresult"/>
          <w:rFonts w:ascii="Times New Roman" w:hAnsi="Times New Roman" w:cs="Times New Roman"/>
          <w:bCs/>
          <w:sz w:val="24"/>
          <w:szCs w:val="24"/>
        </w:rPr>
        <w:t>Comptroller and Auditor General</w:t>
      </w:r>
      <w:r w:rsidR="00AE5FA9" w:rsidRPr="00EF153E">
        <w:rPr>
          <w:rStyle w:val="zmsearchresult"/>
          <w:rFonts w:ascii="Times New Roman" w:hAnsi="Times New Roman" w:cs="Times New Roman"/>
          <w:bCs/>
          <w:sz w:val="24"/>
          <w:szCs w:val="24"/>
        </w:rPr>
        <w:t xml:space="preserve"> </w:t>
      </w:r>
      <w:r w:rsidRPr="00EF153E">
        <w:rPr>
          <w:rFonts w:ascii="Times New Roman" w:hAnsi="Times New Roman" w:cs="Times New Roman"/>
          <w:bCs/>
          <w:sz w:val="24"/>
          <w:szCs w:val="24"/>
        </w:rPr>
        <w:t>as required under the Constitution.</w:t>
      </w:r>
      <w:r w:rsidR="00AE5FA9" w:rsidRPr="00EF153E">
        <w:rPr>
          <w:rFonts w:ascii="Times New Roman" w:hAnsi="Times New Roman" w:cs="Times New Roman"/>
          <w:bCs/>
          <w:sz w:val="24"/>
          <w:szCs w:val="24"/>
        </w:rPr>
        <w:t xml:space="preserve"> </w:t>
      </w:r>
      <w:r w:rsidR="00AA469F" w:rsidRPr="00EF153E">
        <w:rPr>
          <w:rFonts w:ascii="Times New Roman" w:hAnsi="Times New Roman" w:cs="Times New Roman"/>
          <w:sz w:val="24"/>
          <w:szCs w:val="24"/>
        </w:rPr>
        <w:t xml:space="preserve">The State Government provided budget provisions under these heads and incurred expenditure of </w:t>
      </w:r>
      <w:r w:rsidR="00EF153E">
        <w:rPr>
          <w:rFonts w:ascii="Times New Roman" w:hAnsi="Times New Roman" w:cs="Times New Roman"/>
          <w:sz w:val="24"/>
          <w:szCs w:val="24"/>
        </w:rPr>
        <w:t>₹</w:t>
      </w:r>
      <w:r w:rsidR="000241E6">
        <w:rPr>
          <w:rFonts w:ascii="Times New Roman" w:hAnsi="Times New Roman" w:cs="Times New Roman"/>
          <w:sz w:val="24"/>
          <w:szCs w:val="24"/>
        </w:rPr>
        <w:t>909.29</w:t>
      </w:r>
      <w:r w:rsidR="00AA469F" w:rsidRPr="00EF153E">
        <w:rPr>
          <w:rFonts w:ascii="Times New Roman" w:hAnsi="Times New Roman" w:cs="Times New Roman"/>
          <w:sz w:val="24"/>
          <w:szCs w:val="24"/>
        </w:rPr>
        <w:t xml:space="preserve"> crore under the Revenue Section and </w:t>
      </w:r>
      <w:r w:rsidR="00EF153E">
        <w:rPr>
          <w:rFonts w:ascii="Times New Roman" w:hAnsi="Times New Roman" w:cs="Times New Roman"/>
          <w:sz w:val="24"/>
          <w:szCs w:val="24"/>
        </w:rPr>
        <w:t>₹</w:t>
      </w:r>
      <w:r w:rsidR="000241E6">
        <w:rPr>
          <w:rFonts w:ascii="Times New Roman" w:hAnsi="Times New Roman" w:cs="Times New Roman"/>
          <w:sz w:val="24"/>
          <w:szCs w:val="24"/>
        </w:rPr>
        <w:t>188.66</w:t>
      </w:r>
      <w:r w:rsidR="00AA469F" w:rsidRPr="00EF153E">
        <w:rPr>
          <w:rFonts w:ascii="Times New Roman" w:hAnsi="Times New Roman" w:cs="Times New Roman"/>
          <w:sz w:val="24"/>
          <w:szCs w:val="24"/>
        </w:rPr>
        <w:t xml:space="preserve"> crore under the Capital Section in these heads during </w:t>
      </w:r>
      <w:r w:rsidR="007C1EA2" w:rsidRPr="00EF153E">
        <w:rPr>
          <w:rFonts w:ascii="Times New Roman" w:hAnsi="Times New Roman" w:cs="Times New Roman"/>
          <w:sz w:val="24"/>
          <w:szCs w:val="24"/>
        </w:rPr>
        <w:t>202</w:t>
      </w:r>
      <w:r w:rsidR="000241E6">
        <w:rPr>
          <w:rFonts w:ascii="Times New Roman" w:hAnsi="Times New Roman" w:cs="Times New Roman"/>
          <w:sz w:val="24"/>
          <w:szCs w:val="24"/>
        </w:rPr>
        <w:t>2</w:t>
      </w:r>
      <w:r w:rsidR="007C1EA2" w:rsidRPr="00EF153E">
        <w:rPr>
          <w:rFonts w:ascii="Times New Roman" w:hAnsi="Times New Roman" w:cs="Times New Roman"/>
          <w:sz w:val="24"/>
          <w:szCs w:val="24"/>
        </w:rPr>
        <w:t>-2</w:t>
      </w:r>
      <w:r w:rsidR="000241E6">
        <w:rPr>
          <w:rFonts w:ascii="Times New Roman" w:hAnsi="Times New Roman" w:cs="Times New Roman"/>
          <w:sz w:val="24"/>
          <w:szCs w:val="24"/>
        </w:rPr>
        <w:t>3</w:t>
      </w:r>
      <w:r w:rsidR="007C1EA2" w:rsidRPr="00EF153E">
        <w:rPr>
          <w:rFonts w:ascii="Times New Roman" w:hAnsi="Times New Roman" w:cs="Times New Roman"/>
          <w:sz w:val="24"/>
          <w:szCs w:val="24"/>
        </w:rPr>
        <w:t>.</w:t>
      </w:r>
      <w:r w:rsidR="00744DE3">
        <w:rPr>
          <w:rFonts w:ascii="Times New Roman" w:hAnsi="Times New Roman" w:cs="Times New Roman"/>
          <w:sz w:val="24"/>
          <w:szCs w:val="24"/>
        </w:rPr>
        <w:t xml:space="preserve"> </w:t>
      </w:r>
      <w:r w:rsidR="005D621A">
        <w:rPr>
          <w:rFonts w:ascii="Times New Roman" w:hAnsi="Times New Roman" w:cs="Times New Roman"/>
          <w:sz w:val="24"/>
          <w:szCs w:val="24"/>
        </w:rPr>
        <w:t xml:space="preserve">The matter has been taken up with State Government.   </w:t>
      </w:r>
    </w:p>
    <w:p w14:paraId="64566594" w14:textId="77777777" w:rsidR="009F19D7" w:rsidRPr="00EF153E" w:rsidRDefault="00662A7E" w:rsidP="00FC1E42">
      <w:pPr>
        <w:pStyle w:val="ListParagraph"/>
        <w:widowControl w:val="0"/>
        <w:numPr>
          <w:ilvl w:val="0"/>
          <w:numId w:val="15"/>
        </w:numPr>
        <w:autoSpaceDE w:val="0"/>
        <w:autoSpaceDN w:val="0"/>
        <w:adjustRightInd w:val="0"/>
        <w:spacing w:before="240" w:after="240" w:line="240" w:lineRule="auto"/>
        <w:ind w:left="357" w:hanging="357"/>
        <w:contextualSpacing w:val="0"/>
        <w:jc w:val="both"/>
        <w:rPr>
          <w:rFonts w:ascii="Times New Roman" w:hAnsi="Times New Roman" w:cs="Times New Roman"/>
          <w:b/>
          <w:sz w:val="24"/>
          <w:szCs w:val="24"/>
        </w:rPr>
      </w:pPr>
      <w:r w:rsidRPr="00EF153E">
        <w:rPr>
          <w:rFonts w:ascii="Times New Roman" w:hAnsi="Times New Roman" w:cs="Times New Roman"/>
          <w:b/>
          <w:sz w:val="24"/>
          <w:szCs w:val="24"/>
        </w:rPr>
        <w:t>Consolidated Fund:</w:t>
      </w:r>
    </w:p>
    <w:p w14:paraId="6183B83B" w14:textId="77777777" w:rsidR="00E92636" w:rsidRPr="00EF153E" w:rsidRDefault="00662A7E" w:rsidP="002E1B2D">
      <w:pPr>
        <w:pStyle w:val="ListParagraph"/>
        <w:widowControl w:val="0"/>
        <w:numPr>
          <w:ilvl w:val="0"/>
          <w:numId w:val="20"/>
        </w:numPr>
        <w:autoSpaceDE w:val="0"/>
        <w:autoSpaceDN w:val="0"/>
        <w:adjustRightInd w:val="0"/>
        <w:spacing w:before="120" w:after="120" w:line="288" w:lineRule="auto"/>
        <w:ind w:left="1077"/>
        <w:contextualSpacing w:val="0"/>
        <w:jc w:val="both"/>
        <w:rPr>
          <w:rFonts w:ascii="Times New Roman" w:hAnsi="Times New Roman" w:cs="Times New Roman"/>
          <w:bCs/>
          <w:sz w:val="24"/>
          <w:szCs w:val="24"/>
        </w:rPr>
      </w:pPr>
      <w:r w:rsidRPr="00EF153E">
        <w:rPr>
          <w:rFonts w:ascii="Times New Roman" w:hAnsi="Times New Roman" w:cs="Times New Roman"/>
          <w:b/>
          <w:bCs/>
          <w:sz w:val="24"/>
          <w:szCs w:val="24"/>
        </w:rPr>
        <w:t>Goods</w:t>
      </w:r>
      <w:r w:rsidR="00E92636" w:rsidRPr="00EF153E">
        <w:rPr>
          <w:rFonts w:ascii="Times New Roman" w:hAnsi="Times New Roman" w:cs="Times New Roman"/>
          <w:b/>
          <w:sz w:val="24"/>
          <w:szCs w:val="24"/>
        </w:rPr>
        <w:t xml:space="preserve"> and Services Tax:</w:t>
      </w:r>
    </w:p>
    <w:p w14:paraId="153F9BA2" w14:textId="30AAE18A" w:rsidR="009021E2" w:rsidRDefault="00662A7E" w:rsidP="00C174A1">
      <w:pPr>
        <w:widowControl w:val="0"/>
        <w:autoSpaceDE w:val="0"/>
        <w:autoSpaceDN w:val="0"/>
        <w:adjustRightInd w:val="0"/>
        <w:spacing w:before="120" w:after="120" w:line="288" w:lineRule="auto"/>
        <w:ind w:left="360"/>
        <w:jc w:val="both"/>
        <w:rPr>
          <w:rFonts w:ascii="Times New Roman" w:hAnsi="Times New Roman" w:cs="Times New Roman"/>
          <w:bCs/>
          <w:sz w:val="24"/>
          <w:szCs w:val="24"/>
        </w:rPr>
      </w:pPr>
      <w:r w:rsidRPr="00EF153E">
        <w:rPr>
          <w:rFonts w:ascii="Times New Roman" w:hAnsi="Times New Roman" w:cs="Times New Roman"/>
          <w:sz w:val="24"/>
          <w:szCs w:val="24"/>
        </w:rPr>
        <w:t xml:space="preserve">Goods and Services Tax (GST) was introduced with effect from 1 July 2017. </w:t>
      </w:r>
      <w:r w:rsidRPr="00EF153E">
        <w:rPr>
          <w:rFonts w:ascii="Times New Roman" w:hAnsi="Times New Roman" w:cs="Times New Roman"/>
          <w:bCs/>
          <w:sz w:val="24"/>
          <w:szCs w:val="24"/>
        </w:rPr>
        <w:t xml:space="preserve">During the year </w:t>
      </w:r>
      <w:r w:rsidR="007C1EA2" w:rsidRPr="00EF153E">
        <w:rPr>
          <w:rFonts w:ascii="Times New Roman" w:hAnsi="Times New Roman" w:cs="Times New Roman"/>
          <w:bCs/>
          <w:sz w:val="24"/>
          <w:szCs w:val="24"/>
        </w:rPr>
        <w:t>202</w:t>
      </w:r>
      <w:r w:rsidR="00EF4A85">
        <w:rPr>
          <w:rFonts w:ascii="Times New Roman" w:hAnsi="Times New Roman" w:cs="Times New Roman"/>
          <w:bCs/>
          <w:sz w:val="24"/>
          <w:szCs w:val="24"/>
        </w:rPr>
        <w:t>2</w:t>
      </w:r>
      <w:r w:rsidR="007C1EA2" w:rsidRPr="00EF153E">
        <w:rPr>
          <w:rFonts w:ascii="Times New Roman" w:hAnsi="Times New Roman" w:cs="Times New Roman"/>
          <w:bCs/>
          <w:sz w:val="24"/>
          <w:szCs w:val="24"/>
        </w:rPr>
        <w:t>-2</w:t>
      </w:r>
      <w:r w:rsidR="00EF4A85">
        <w:rPr>
          <w:rFonts w:ascii="Times New Roman" w:hAnsi="Times New Roman" w:cs="Times New Roman"/>
          <w:bCs/>
          <w:sz w:val="24"/>
          <w:szCs w:val="24"/>
        </w:rPr>
        <w:t>3</w:t>
      </w:r>
      <w:r w:rsidRPr="00EF153E">
        <w:rPr>
          <w:rFonts w:ascii="Times New Roman" w:hAnsi="Times New Roman" w:cs="Times New Roman"/>
          <w:bCs/>
          <w:sz w:val="24"/>
          <w:szCs w:val="24"/>
        </w:rPr>
        <w:t xml:space="preserve">, the State GST collection was </w:t>
      </w:r>
      <w:r w:rsidR="00EF153E">
        <w:rPr>
          <w:rFonts w:ascii="Times New Roman" w:hAnsi="Times New Roman" w:cs="Times New Roman"/>
          <w:bCs/>
          <w:sz w:val="24"/>
          <w:szCs w:val="24"/>
        </w:rPr>
        <w:t>₹</w:t>
      </w:r>
      <w:r w:rsidR="00EF4A85">
        <w:rPr>
          <w:rFonts w:ascii="Times New Roman" w:hAnsi="Times New Roman" w:cs="Times New Roman"/>
          <w:bCs/>
          <w:sz w:val="24"/>
          <w:szCs w:val="24"/>
        </w:rPr>
        <w:t>1,426.15</w:t>
      </w:r>
      <w:r w:rsidRPr="00EF153E">
        <w:rPr>
          <w:rFonts w:ascii="Times New Roman" w:hAnsi="Times New Roman" w:cs="Times New Roman"/>
          <w:bCs/>
          <w:sz w:val="24"/>
          <w:szCs w:val="24"/>
        </w:rPr>
        <w:t xml:space="preserve"> crore compared to</w:t>
      </w:r>
      <w:r w:rsidR="008A56B5" w:rsidRPr="00EF153E">
        <w:rPr>
          <w:rFonts w:ascii="Times New Roman" w:hAnsi="Times New Roman" w:cs="Times New Roman"/>
          <w:bCs/>
          <w:sz w:val="24"/>
          <w:szCs w:val="24"/>
        </w:rPr>
        <w:t xml:space="preserve"> </w:t>
      </w:r>
      <w:r w:rsidR="00EF153E">
        <w:rPr>
          <w:rFonts w:ascii="Times New Roman" w:hAnsi="Times New Roman" w:cs="Times New Roman"/>
          <w:bCs/>
          <w:sz w:val="24"/>
          <w:szCs w:val="24"/>
        </w:rPr>
        <w:t>₹</w:t>
      </w:r>
      <w:r w:rsidR="00EF4A85">
        <w:rPr>
          <w:rFonts w:ascii="Times New Roman" w:hAnsi="Times New Roman" w:cs="Times New Roman"/>
          <w:bCs/>
          <w:sz w:val="24"/>
          <w:szCs w:val="24"/>
        </w:rPr>
        <w:t>1,125.56</w:t>
      </w:r>
      <w:r w:rsidRPr="00EF153E">
        <w:rPr>
          <w:rFonts w:ascii="Times New Roman" w:hAnsi="Times New Roman" w:cs="Times New Roman"/>
          <w:bCs/>
          <w:sz w:val="24"/>
          <w:szCs w:val="24"/>
        </w:rPr>
        <w:t xml:space="preserve"> </w:t>
      </w:r>
      <w:r w:rsidRPr="00EF153E">
        <w:rPr>
          <w:rFonts w:ascii="Times New Roman" w:hAnsi="Times New Roman" w:cs="Times New Roman"/>
          <w:bCs/>
          <w:sz w:val="24"/>
          <w:szCs w:val="24"/>
        </w:rPr>
        <w:lastRenderedPageBreak/>
        <w:t xml:space="preserve">crore in </w:t>
      </w:r>
      <w:r w:rsidR="00E31166">
        <w:rPr>
          <w:rFonts w:ascii="Times New Roman" w:hAnsi="Times New Roman" w:cs="Times New Roman"/>
          <w:bCs/>
          <w:sz w:val="24"/>
          <w:szCs w:val="24"/>
        </w:rPr>
        <w:t>20</w:t>
      </w:r>
      <w:r w:rsidR="00EF4A85">
        <w:rPr>
          <w:rFonts w:ascii="Times New Roman" w:hAnsi="Times New Roman" w:cs="Times New Roman"/>
          <w:bCs/>
          <w:sz w:val="24"/>
          <w:szCs w:val="24"/>
        </w:rPr>
        <w:t>21</w:t>
      </w:r>
      <w:r w:rsidR="007C1EA2" w:rsidRPr="00EF153E">
        <w:rPr>
          <w:rFonts w:ascii="Times New Roman" w:hAnsi="Times New Roman" w:cs="Times New Roman"/>
          <w:bCs/>
          <w:sz w:val="24"/>
          <w:szCs w:val="24"/>
        </w:rPr>
        <w:t>-2</w:t>
      </w:r>
      <w:r w:rsidR="00EF4A85">
        <w:rPr>
          <w:rFonts w:ascii="Times New Roman" w:hAnsi="Times New Roman" w:cs="Times New Roman"/>
          <w:bCs/>
          <w:sz w:val="24"/>
          <w:szCs w:val="24"/>
        </w:rPr>
        <w:t>2</w:t>
      </w:r>
      <w:r w:rsidRPr="00EF153E">
        <w:rPr>
          <w:rFonts w:ascii="Times New Roman" w:hAnsi="Times New Roman" w:cs="Times New Roman"/>
          <w:bCs/>
          <w:sz w:val="24"/>
          <w:szCs w:val="24"/>
        </w:rPr>
        <w:t xml:space="preserve">, registering an increase of </w:t>
      </w:r>
      <w:r w:rsidR="00EF153E">
        <w:rPr>
          <w:rFonts w:ascii="Times New Roman" w:hAnsi="Times New Roman" w:cs="Times New Roman"/>
          <w:bCs/>
          <w:sz w:val="24"/>
          <w:szCs w:val="24"/>
        </w:rPr>
        <w:t>₹</w:t>
      </w:r>
      <w:r w:rsidR="00EF4A85">
        <w:rPr>
          <w:rFonts w:ascii="Times New Roman" w:hAnsi="Times New Roman" w:cs="Times New Roman"/>
          <w:bCs/>
          <w:sz w:val="24"/>
          <w:szCs w:val="24"/>
        </w:rPr>
        <w:t>300.59</w:t>
      </w:r>
      <w:r w:rsidRPr="00EF153E">
        <w:rPr>
          <w:rFonts w:ascii="Times New Roman" w:hAnsi="Times New Roman" w:cs="Times New Roman"/>
          <w:bCs/>
          <w:sz w:val="24"/>
          <w:szCs w:val="24"/>
        </w:rPr>
        <w:t xml:space="preserve"> crore (</w:t>
      </w:r>
      <w:r w:rsidR="00EF4A85">
        <w:rPr>
          <w:rFonts w:ascii="Times New Roman" w:hAnsi="Times New Roman" w:cs="Times New Roman"/>
          <w:bCs/>
          <w:sz w:val="24"/>
          <w:szCs w:val="24"/>
        </w:rPr>
        <w:t>26.71</w:t>
      </w:r>
      <w:r w:rsidR="007C1EA2" w:rsidRPr="00EF153E">
        <w:rPr>
          <w:rFonts w:ascii="Times New Roman" w:hAnsi="Times New Roman" w:cs="Times New Roman"/>
          <w:bCs/>
          <w:sz w:val="24"/>
          <w:szCs w:val="24"/>
        </w:rPr>
        <w:t xml:space="preserve"> </w:t>
      </w:r>
      <w:r w:rsidRPr="00EF153E">
        <w:rPr>
          <w:rFonts w:ascii="Times New Roman" w:hAnsi="Times New Roman" w:cs="Times New Roman"/>
          <w:bCs/>
          <w:i/>
          <w:iCs/>
          <w:sz w:val="24"/>
          <w:szCs w:val="24"/>
        </w:rPr>
        <w:t>per cent</w:t>
      </w:r>
      <w:r w:rsidRPr="00EF153E">
        <w:rPr>
          <w:rFonts w:ascii="Times New Roman" w:hAnsi="Times New Roman" w:cs="Times New Roman"/>
          <w:bCs/>
          <w:sz w:val="24"/>
          <w:szCs w:val="24"/>
        </w:rPr>
        <w:t>).</w:t>
      </w:r>
      <w:r w:rsidR="002A13CA">
        <w:rPr>
          <w:rFonts w:ascii="Times New Roman" w:hAnsi="Times New Roman" w:cs="Times New Roman"/>
          <w:bCs/>
          <w:sz w:val="24"/>
          <w:szCs w:val="24"/>
        </w:rPr>
        <w:t xml:space="preserve"> </w:t>
      </w:r>
      <w:r w:rsidRPr="00EF153E">
        <w:rPr>
          <w:rFonts w:ascii="Times New Roman" w:hAnsi="Times New Roman" w:cs="Times New Roman"/>
          <w:bCs/>
          <w:sz w:val="24"/>
          <w:szCs w:val="24"/>
        </w:rPr>
        <w:t xml:space="preserve">This includes Advance Apportionment of IGST </w:t>
      </w:r>
      <w:r w:rsidR="001C2664" w:rsidRPr="00EF153E">
        <w:rPr>
          <w:rFonts w:ascii="Times New Roman" w:hAnsi="Times New Roman" w:cs="Times New Roman"/>
          <w:bCs/>
          <w:sz w:val="24"/>
          <w:szCs w:val="24"/>
        </w:rPr>
        <w:t>amount</w:t>
      </w:r>
      <w:r w:rsidR="00BF6175" w:rsidRPr="00EF153E">
        <w:rPr>
          <w:rFonts w:ascii="Times New Roman" w:hAnsi="Times New Roman" w:cs="Times New Roman"/>
          <w:bCs/>
          <w:sz w:val="24"/>
          <w:szCs w:val="24"/>
        </w:rPr>
        <w:t>ing</w:t>
      </w:r>
      <w:r w:rsidRPr="00EF153E">
        <w:rPr>
          <w:rFonts w:ascii="Times New Roman" w:hAnsi="Times New Roman" w:cs="Times New Roman"/>
          <w:bCs/>
          <w:sz w:val="24"/>
          <w:szCs w:val="24"/>
        </w:rPr>
        <w:t xml:space="preserve"> to </w:t>
      </w:r>
      <w:r w:rsidR="00EF153E">
        <w:rPr>
          <w:rFonts w:ascii="Times New Roman" w:hAnsi="Times New Roman" w:cs="Times New Roman"/>
          <w:bCs/>
          <w:sz w:val="24"/>
          <w:szCs w:val="24"/>
        </w:rPr>
        <w:t>₹</w:t>
      </w:r>
      <w:r w:rsidR="00AD218A">
        <w:rPr>
          <w:rFonts w:ascii="Times New Roman" w:hAnsi="Times New Roman" w:cs="Times New Roman"/>
          <w:bCs/>
          <w:sz w:val="24"/>
          <w:szCs w:val="24"/>
        </w:rPr>
        <w:t>16.25</w:t>
      </w:r>
      <w:r w:rsidRPr="00EF153E">
        <w:rPr>
          <w:rFonts w:ascii="Times New Roman" w:hAnsi="Times New Roman" w:cs="Times New Roman"/>
          <w:bCs/>
          <w:sz w:val="24"/>
          <w:szCs w:val="24"/>
        </w:rPr>
        <w:t xml:space="preserve"> crore. In addition, the State received </w:t>
      </w:r>
      <w:r w:rsidR="00EF153E">
        <w:rPr>
          <w:rFonts w:ascii="Times New Roman" w:hAnsi="Times New Roman" w:cs="Times New Roman"/>
          <w:bCs/>
          <w:sz w:val="24"/>
          <w:szCs w:val="24"/>
        </w:rPr>
        <w:t>₹</w:t>
      </w:r>
      <w:r w:rsidR="00AD218A">
        <w:rPr>
          <w:rFonts w:ascii="Times New Roman" w:hAnsi="Times New Roman" w:cs="Times New Roman"/>
          <w:bCs/>
          <w:sz w:val="24"/>
          <w:szCs w:val="24"/>
        </w:rPr>
        <w:t xml:space="preserve">1,921.28 </w:t>
      </w:r>
      <w:r w:rsidRPr="00EF153E">
        <w:rPr>
          <w:rFonts w:ascii="Times New Roman" w:hAnsi="Times New Roman" w:cs="Times New Roman"/>
          <w:bCs/>
          <w:sz w:val="24"/>
          <w:szCs w:val="24"/>
        </w:rPr>
        <w:t>crore</w:t>
      </w:r>
      <w:r w:rsidR="00DB3757">
        <w:rPr>
          <w:rFonts w:ascii="Times New Roman" w:hAnsi="Times New Roman" w:cs="Times New Roman"/>
          <w:bCs/>
          <w:sz w:val="24"/>
          <w:szCs w:val="24"/>
        </w:rPr>
        <w:t xml:space="preserve"> from Government of India</w:t>
      </w:r>
      <w:r w:rsidRPr="00EF153E">
        <w:rPr>
          <w:rFonts w:ascii="Times New Roman" w:hAnsi="Times New Roman" w:cs="Times New Roman"/>
          <w:bCs/>
          <w:sz w:val="24"/>
          <w:szCs w:val="24"/>
        </w:rPr>
        <w:t xml:space="preserve"> as its share of net proceeds assigned to the State under Central Goods and Services Tax. The total receipts under GST were </w:t>
      </w:r>
      <w:r w:rsidR="00EF153E">
        <w:rPr>
          <w:rFonts w:ascii="Times New Roman" w:hAnsi="Times New Roman" w:cs="Times New Roman"/>
          <w:bCs/>
          <w:sz w:val="24"/>
          <w:szCs w:val="24"/>
        </w:rPr>
        <w:t>₹</w:t>
      </w:r>
      <w:r w:rsidR="00C822D5">
        <w:rPr>
          <w:rFonts w:ascii="Times New Roman" w:hAnsi="Times New Roman" w:cs="Times New Roman"/>
          <w:bCs/>
          <w:sz w:val="24"/>
          <w:szCs w:val="24"/>
        </w:rPr>
        <w:t>3,347.43</w:t>
      </w:r>
      <w:r w:rsidR="007C1EA2" w:rsidRPr="00EF153E">
        <w:rPr>
          <w:rFonts w:ascii="Times New Roman" w:hAnsi="Times New Roman" w:cs="Times New Roman"/>
          <w:bCs/>
          <w:sz w:val="24"/>
          <w:szCs w:val="24"/>
        </w:rPr>
        <w:t xml:space="preserve"> </w:t>
      </w:r>
      <w:r w:rsidRPr="00EF153E">
        <w:rPr>
          <w:rFonts w:ascii="Times New Roman" w:hAnsi="Times New Roman" w:cs="Times New Roman"/>
          <w:bCs/>
          <w:sz w:val="24"/>
          <w:szCs w:val="24"/>
        </w:rPr>
        <w:t xml:space="preserve">crore. The State </w:t>
      </w:r>
      <w:r w:rsidRPr="00E87911">
        <w:rPr>
          <w:rFonts w:ascii="Times New Roman" w:hAnsi="Times New Roman" w:cs="Times New Roman"/>
          <w:bCs/>
          <w:sz w:val="24"/>
          <w:szCs w:val="24"/>
        </w:rPr>
        <w:t xml:space="preserve">received </w:t>
      </w:r>
      <w:r w:rsidR="007C1EA2" w:rsidRPr="00E87911">
        <w:rPr>
          <w:rFonts w:ascii="Times New Roman" w:hAnsi="Times New Roman" w:cs="Times New Roman"/>
          <w:bCs/>
          <w:sz w:val="24"/>
          <w:szCs w:val="24"/>
        </w:rPr>
        <w:t xml:space="preserve">no </w:t>
      </w:r>
      <w:r w:rsidRPr="00E87911">
        <w:rPr>
          <w:rFonts w:ascii="Times New Roman" w:hAnsi="Times New Roman" w:cs="Times New Roman"/>
          <w:bCs/>
          <w:sz w:val="24"/>
          <w:szCs w:val="24"/>
        </w:rPr>
        <w:t xml:space="preserve">compensation </w:t>
      </w:r>
      <w:r w:rsidR="003F1385" w:rsidRPr="00E87911">
        <w:rPr>
          <w:rFonts w:ascii="Times New Roman" w:hAnsi="Times New Roman" w:cs="Times New Roman"/>
          <w:bCs/>
          <w:sz w:val="24"/>
          <w:szCs w:val="24"/>
        </w:rPr>
        <w:t xml:space="preserve">as Revenue receipt </w:t>
      </w:r>
      <w:r w:rsidRPr="00E87911">
        <w:rPr>
          <w:rFonts w:ascii="Times New Roman" w:hAnsi="Times New Roman" w:cs="Times New Roman"/>
          <w:bCs/>
          <w:sz w:val="24"/>
          <w:szCs w:val="24"/>
        </w:rPr>
        <w:t>on account of loss of revenue arising out o</w:t>
      </w:r>
      <w:r w:rsidR="007C1EA2" w:rsidRPr="00E87911">
        <w:rPr>
          <w:rFonts w:ascii="Times New Roman" w:hAnsi="Times New Roman" w:cs="Times New Roman"/>
          <w:bCs/>
          <w:sz w:val="24"/>
          <w:szCs w:val="24"/>
        </w:rPr>
        <w:t>f implementation of GST during 202</w:t>
      </w:r>
      <w:r w:rsidR="00C822D5" w:rsidRPr="00E87911">
        <w:rPr>
          <w:rFonts w:ascii="Times New Roman" w:hAnsi="Times New Roman" w:cs="Times New Roman"/>
          <w:bCs/>
          <w:sz w:val="24"/>
          <w:szCs w:val="24"/>
        </w:rPr>
        <w:t>2</w:t>
      </w:r>
      <w:r w:rsidR="007C1EA2" w:rsidRPr="00E87911">
        <w:rPr>
          <w:rFonts w:ascii="Times New Roman" w:hAnsi="Times New Roman" w:cs="Times New Roman"/>
          <w:bCs/>
          <w:sz w:val="24"/>
          <w:szCs w:val="24"/>
        </w:rPr>
        <w:t>-2</w:t>
      </w:r>
      <w:r w:rsidR="00C822D5" w:rsidRPr="00E87911">
        <w:rPr>
          <w:rFonts w:ascii="Times New Roman" w:hAnsi="Times New Roman" w:cs="Times New Roman"/>
          <w:bCs/>
          <w:sz w:val="24"/>
          <w:szCs w:val="24"/>
        </w:rPr>
        <w:t>3</w:t>
      </w:r>
      <w:r w:rsidR="007C1EA2" w:rsidRPr="00E87911">
        <w:rPr>
          <w:rFonts w:ascii="Times New Roman" w:hAnsi="Times New Roman" w:cs="Times New Roman"/>
          <w:bCs/>
          <w:sz w:val="24"/>
          <w:szCs w:val="24"/>
        </w:rPr>
        <w:t>.</w:t>
      </w:r>
      <w:r w:rsidR="00CB5B96" w:rsidRPr="00EF153E">
        <w:rPr>
          <w:rFonts w:ascii="Times New Roman" w:hAnsi="Times New Roman" w:cs="Times New Roman"/>
          <w:bCs/>
          <w:sz w:val="24"/>
          <w:szCs w:val="24"/>
        </w:rPr>
        <w:t xml:space="preserve"> </w:t>
      </w:r>
    </w:p>
    <w:p w14:paraId="78645BA4" w14:textId="3A738C8B" w:rsidR="00D40D3F" w:rsidRDefault="00F521F1" w:rsidP="00B90901">
      <w:pPr>
        <w:spacing w:before="240" w:after="240" w:line="288" w:lineRule="auto"/>
        <w:ind w:left="357"/>
        <w:jc w:val="both"/>
        <w:rPr>
          <w:rFonts w:ascii="Times New Roman" w:hAnsi="Times New Roman" w:cs="Times New Roman"/>
          <w:bCs/>
          <w:iCs/>
          <w:sz w:val="24"/>
          <w:szCs w:val="24"/>
          <w:lang w:val="en-IN"/>
        </w:rPr>
      </w:pPr>
      <w:bookmarkStart w:id="0" w:name="_Hlk97907756"/>
      <w:bookmarkStart w:id="1" w:name="_Hlk97902840"/>
      <w:r w:rsidRPr="00F521F1">
        <w:rPr>
          <w:rFonts w:ascii="Times New Roman" w:hAnsi="Times New Roman" w:cs="Times New Roman"/>
          <w:bCs/>
          <w:i/>
          <w:iCs/>
          <w:sz w:val="24"/>
          <w:szCs w:val="24"/>
          <w:lang w:val="en-IN"/>
        </w:rPr>
        <w:t>The relevant figures are available in Statement No.14 of the Finance Accounts</w:t>
      </w:r>
      <w:r>
        <w:rPr>
          <w:rFonts w:ascii="Times New Roman" w:hAnsi="Times New Roman" w:cs="Times New Roman"/>
          <w:bCs/>
          <w:iCs/>
          <w:sz w:val="24"/>
          <w:szCs w:val="24"/>
          <w:lang w:val="en-IN"/>
        </w:rPr>
        <w:t>.</w:t>
      </w:r>
    </w:p>
    <w:bookmarkEnd w:id="0"/>
    <w:bookmarkEnd w:id="1"/>
    <w:p w14:paraId="6B1115EA" w14:textId="488F1CEC" w:rsidR="00E92636" w:rsidRPr="00E23232" w:rsidRDefault="00662A7E" w:rsidP="00B90901">
      <w:pPr>
        <w:pStyle w:val="ListParagraph"/>
        <w:numPr>
          <w:ilvl w:val="0"/>
          <w:numId w:val="20"/>
        </w:numPr>
        <w:spacing w:after="0" w:line="240" w:lineRule="auto"/>
        <w:jc w:val="both"/>
        <w:rPr>
          <w:rFonts w:ascii="Times New Roman" w:hAnsi="Times New Roman" w:cs="Times New Roman"/>
          <w:sz w:val="24"/>
          <w:szCs w:val="24"/>
        </w:rPr>
      </w:pPr>
      <w:r w:rsidRPr="00E23232">
        <w:rPr>
          <w:rFonts w:ascii="Times New Roman" w:hAnsi="Times New Roman" w:cs="Times New Roman"/>
          <w:b/>
          <w:sz w:val="24"/>
          <w:szCs w:val="24"/>
        </w:rPr>
        <w:t>Reconciliation</w:t>
      </w:r>
      <w:r w:rsidRPr="00E23232">
        <w:rPr>
          <w:rFonts w:ascii="Times New Roman" w:hAnsi="Times New Roman" w:cs="Times New Roman"/>
          <w:b/>
          <w:bCs/>
          <w:sz w:val="24"/>
          <w:szCs w:val="24"/>
        </w:rPr>
        <w:t xml:space="preserve"> of Receipts a</w:t>
      </w:r>
      <w:r w:rsidR="00B90901">
        <w:rPr>
          <w:rFonts w:ascii="Times New Roman" w:hAnsi="Times New Roman" w:cs="Times New Roman"/>
          <w:b/>
          <w:bCs/>
          <w:sz w:val="24"/>
          <w:szCs w:val="24"/>
        </w:rPr>
        <w:t xml:space="preserve">nd Expenditure between CCOs and </w:t>
      </w:r>
      <w:r w:rsidR="00EA7270" w:rsidRPr="00E23232">
        <w:rPr>
          <w:rFonts w:ascii="Times New Roman" w:hAnsi="Times New Roman" w:cs="Times New Roman"/>
          <w:b/>
          <w:bCs/>
          <w:sz w:val="24"/>
          <w:szCs w:val="24"/>
        </w:rPr>
        <w:t xml:space="preserve">Accountant </w:t>
      </w:r>
      <w:r w:rsidRPr="00E23232">
        <w:rPr>
          <w:rFonts w:ascii="Times New Roman" w:hAnsi="Times New Roman" w:cs="Times New Roman"/>
          <w:b/>
          <w:bCs/>
          <w:sz w:val="24"/>
          <w:szCs w:val="24"/>
        </w:rPr>
        <w:t xml:space="preserve">General (A&amp;E): </w:t>
      </w:r>
    </w:p>
    <w:p w14:paraId="09829C56" w14:textId="7CB8FB3D" w:rsidR="00287A34" w:rsidRPr="00EF153E" w:rsidRDefault="00662A7E" w:rsidP="00B90901">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All Controlling Officers are required to reconcile receipts and expenditure of the Government with the figures accounted for by the Accountant General (A&amp;E), </w:t>
      </w:r>
      <w:r w:rsidR="00FB4BC7" w:rsidRPr="00EF153E">
        <w:rPr>
          <w:rFonts w:ascii="Times New Roman" w:hAnsi="Times New Roman" w:cs="Times New Roman"/>
          <w:sz w:val="24"/>
          <w:szCs w:val="24"/>
        </w:rPr>
        <w:t>Manipur</w:t>
      </w:r>
      <w:r w:rsidR="008A56B5" w:rsidRPr="00EF153E">
        <w:rPr>
          <w:rFonts w:ascii="Times New Roman" w:hAnsi="Times New Roman" w:cs="Times New Roman"/>
          <w:sz w:val="24"/>
          <w:szCs w:val="24"/>
        </w:rPr>
        <w:t>. During the year 202</w:t>
      </w:r>
      <w:r w:rsidR="007D44A7">
        <w:rPr>
          <w:rFonts w:ascii="Times New Roman" w:hAnsi="Times New Roman" w:cs="Times New Roman"/>
          <w:sz w:val="24"/>
          <w:szCs w:val="24"/>
        </w:rPr>
        <w:t>2</w:t>
      </w:r>
      <w:r w:rsidR="008A56B5" w:rsidRPr="00EF153E">
        <w:rPr>
          <w:rFonts w:ascii="Times New Roman" w:hAnsi="Times New Roman" w:cs="Times New Roman"/>
          <w:sz w:val="24"/>
          <w:szCs w:val="24"/>
        </w:rPr>
        <w:t>-2</w:t>
      </w:r>
      <w:r w:rsidR="007D44A7">
        <w:rPr>
          <w:rFonts w:ascii="Times New Roman" w:hAnsi="Times New Roman" w:cs="Times New Roman"/>
          <w:sz w:val="24"/>
          <w:szCs w:val="24"/>
        </w:rPr>
        <w:t>3</w:t>
      </w:r>
      <w:r w:rsidRPr="00EF153E">
        <w:rPr>
          <w:rFonts w:ascii="Times New Roman" w:hAnsi="Times New Roman" w:cs="Times New Roman"/>
          <w:sz w:val="24"/>
          <w:szCs w:val="24"/>
        </w:rPr>
        <w:t xml:space="preserve">, receipts amounting to </w:t>
      </w:r>
      <w:hyperlink r:id="rId8" w:history="1">
        <w:r w:rsidR="00EF153E">
          <w:rPr>
            <w:rStyle w:val="Hyperlink"/>
            <w:rFonts w:ascii="Times New Roman" w:hAnsi="Times New Roman" w:cs="Times New Roman"/>
            <w:color w:val="auto"/>
            <w:sz w:val="24"/>
            <w:szCs w:val="24"/>
            <w:u w:val="none"/>
          </w:rPr>
          <w:t>₹</w:t>
        </w:r>
      </w:hyperlink>
      <w:r w:rsidR="00880D6B">
        <w:rPr>
          <w:rFonts w:ascii="Times New Roman" w:hAnsi="Times New Roman" w:cs="Times New Roman"/>
          <w:sz w:val="24"/>
          <w:szCs w:val="24"/>
        </w:rPr>
        <w:t>25,329.73</w:t>
      </w:r>
      <w:r w:rsidR="002E52D5">
        <w:rPr>
          <w:rFonts w:ascii="Times New Roman" w:hAnsi="Times New Roman" w:cs="Times New Roman"/>
          <w:sz w:val="24"/>
          <w:szCs w:val="24"/>
        </w:rPr>
        <w:t xml:space="preserve"> crore (</w:t>
      </w:r>
      <w:r w:rsidR="00880D6B">
        <w:rPr>
          <w:rFonts w:ascii="Times New Roman" w:hAnsi="Times New Roman" w:cs="Times New Roman"/>
          <w:sz w:val="24"/>
          <w:szCs w:val="24"/>
        </w:rPr>
        <w:t>93.78</w:t>
      </w:r>
      <w:r w:rsidR="0054130A">
        <w:rPr>
          <w:rFonts w:ascii="Times New Roman" w:hAnsi="Times New Roman" w:cs="Times New Roman"/>
          <w:sz w:val="24"/>
          <w:szCs w:val="24"/>
        </w:rPr>
        <w:t> </w:t>
      </w:r>
      <w:r w:rsidR="00EA7270" w:rsidRPr="00EF153E">
        <w:rPr>
          <w:rFonts w:ascii="Times New Roman" w:hAnsi="Times New Roman" w:cs="Times New Roman"/>
          <w:i/>
          <w:sz w:val="24"/>
          <w:szCs w:val="24"/>
        </w:rPr>
        <w:t>per</w:t>
      </w:r>
      <w:r w:rsidR="0054130A">
        <w:rPr>
          <w:rFonts w:ascii="Times New Roman" w:hAnsi="Times New Roman" w:cs="Times New Roman"/>
          <w:i/>
          <w:sz w:val="24"/>
          <w:szCs w:val="24"/>
        </w:rPr>
        <w:t> </w:t>
      </w:r>
      <w:r w:rsidR="00EA7270" w:rsidRPr="00EF153E">
        <w:rPr>
          <w:rFonts w:ascii="Times New Roman" w:hAnsi="Times New Roman" w:cs="Times New Roman"/>
          <w:i/>
          <w:sz w:val="24"/>
          <w:szCs w:val="24"/>
        </w:rPr>
        <w:t xml:space="preserve">cent </w:t>
      </w:r>
      <w:r w:rsidR="00EA7270" w:rsidRPr="00EF153E">
        <w:rPr>
          <w:rFonts w:ascii="Times New Roman" w:hAnsi="Times New Roman" w:cs="Times New Roman"/>
          <w:sz w:val="24"/>
          <w:szCs w:val="24"/>
        </w:rPr>
        <w:t xml:space="preserve">of total receipts) and expenditure amounting to </w:t>
      </w:r>
      <w:r w:rsidR="00EF153E">
        <w:rPr>
          <w:rFonts w:ascii="Times New Roman" w:hAnsi="Times New Roman" w:cs="Times New Roman"/>
          <w:sz w:val="24"/>
          <w:szCs w:val="24"/>
        </w:rPr>
        <w:t>₹</w:t>
      </w:r>
      <w:r w:rsidR="00880D6B">
        <w:rPr>
          <w:rFonts w:ascii="Times New Roman" w:hAnsi="Times New Roman" w:cs="Times New Roman"/>
          <w:sz w:val="24"/>
          <w:szCs w:val="24"/>
        </w:rPr>
        <w:t>18,816.74</w:t>
      </w:r>
      <w:r w:rsidR="00C55154">
        <w:rPr>
          <w:rFonts w:ascii="Times New Roman" w:hAnsi="Times New Roman" w:cs="Times New Roman"/>
          <w:sz w:val="24"/>
          <w:szCs w:val="24"/>
        </w:rPr>
        <w:t xml:space="preserve"> crore (</w:t>
      </w:r>
      <w:r w:rsidR="00880D6B">
        <w:rPr>
          <w:rFonts w:ascii="Times New Roman" w:hAnsi="Times New Roman" w:cs="Times New Roman"/>
          <w:sz w:val="24"/>
          <w:szCs w:val="24"/>
        </w:rPr>
        <w:t xml:space="preserve">69.55 </w:t>
      </w:r>
      <w:r w:rsidR="00EA7270" w:rsidRPr="00EF153E">
        <w:rPr>
          <w:rFonts w:ascii="Times New Roman" w:hAnsi="Times New Roman" w:cs="Times New Roman"/>
          <w:i/>
          <w:sz w:val="24"/>
          <w:szCs w:val="24"/>
        </w:rPr>
        <w:t xml:space="preserve">per cent </w:t>
      </w:r>
      <w:r w:rsidR="00EA7270" w:rsidRPr="00EF153E">
        <w:rPr>
          <w:rFonts w:ascii="Times New Roman" w:hAnsi="Times New Roman" w:cs="Times New Roman"/>
          <w:sz w:val="24"/>
          <w:szCs w:val="24"/>
        </w:rPr>
        <w:t xml:space="preserve">of total expenditure) were reconciled by the State Government. </w:t>
      </w:r>
    </w:p>
    <w:p w14:paraId="72B43920" w14:textId="77777777" w:rsidR="00517867" w:rsidRDefault="00C71874" w:rsidP="00B90901">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In comparison, receipts amounting to </w:t>
      </w:r>
      <w:hyperlink r:id="rId9" w:history="1">
        <w:r w:rsidR="00EF153E">
          <w:rPr>
            <w:rStyle w:val="Hyperlink"/>
            <w:rFonts w:ascii="Times New Roman" w:hAnsi="Times New Roman" w:cs="Times New Roman"/>
            <w:color w:val="auto"/>
            <w:sz w:val="24"/>
            <w:szCs w:val="24"/>
            <w:u w:val="none"/>
          </w:rPr>
          <w:t>₹</w:t>
        </w:r>
      </w:hyperlink>
      <w:r w:rsidR="00973A27">
        <w:rPr>
          <w:rFonts w:ascii="Times New Roman" w:hAnsi="Times New Roman" w:cs="Times New Roman"/>
          <w:sz w:val="24"/>
          <w:szCs w:val="24"/>
        </w:rPr>
        <w:t>25,485.82</w:t>
      </w:r>
      <w:r w:rsidRPr="00EF153E">
        <w:rPr>
          <w:rFonts w:ascii="Times New Roman" w:hAnsi="Times New Roman" w:cs="Times New Roman"/>
          <w:sz w:val="24"/>
          <w:szCs w:val="24"/>
        </w:rPr>
        <w:t xml:space="preserve"> crore (</w:t>
      </w:r>
      <w:r w:rsidR="00973A27">
        <w:rPr>
          <w:rFonts w:ascii="Times New Roman" w:hAnsi="Times New Roman" w:cs="Times New Roman"/>
          <w:sz w:val="24"/>
          <w:szCs w:val="24"/>
        </w:rPr>
        <w:t>95.29</w:t>
      </w:r>
      <w:r w:rsidRPr="00EF153E">
        <w:rPr>
          <w:rFonts w:ascii="Times New Roman" w:hAnsi="Times New Roman" w:cs="Times New Roman"/>
          <w:sz w:val="24"/>
          <w:szCs w:val="24"/>
        </w:rPr>
        <w:t xml:space="preserve"> </w:t>
      </w:r>
      <w:r w:rsidRPr="00EF153E">
        <w:rPr>
          <w:rFonts w:ascii="Times New Roman" w:hAnsi="Times New Roman" w:cs="Times New Roman"/>
          <w:i/>
          <w:sz w:val="24"/>
          <w:szCs w:val="24"/>
        </w:rPr>
        <w:t xml:space="preserve">per cent </w:t>
      </w:r>
      <w:r w:rsidRPr="00EF153E">
        <w:rPr>
          <w:rFonts w:ascii="Times New Roman" w:hAnsi="Times New Roman" w:cs="Times New Roman"/>
          <w:sz w:val="24"/>
          <w:szCs w:val="24"/>
        </w:rPr>
        <w:t xml:space="preserve">of total receipts) and expenditure amounting to </w:t>
      </w:r>
      <w:hyperlink r:id="rId10" w:history="1">
        <w:r w:rsidR="00EF153E">
          <w:rPr>
            <w:rStyle w:val="Hyperlink"/>
            <w:rFonts w:ascii="Times New Roman" w:hAnsi="Times New Roman" w:cs="Times New Roman"/>
            <w:color w:val="auto"/>
            <w:sz w:val="24"/>
            <w:szCs w:val="24"/>
            <w:u w:val="none"/>
          </w:rPr>
          <w:t>₹</w:t>
        </w:r>
      </w:hyperlink>
      <w:r w:rsidR="00973A27">
        <w:rPr>
          <w:rFonts w:ascii="Times New Roman" w:hAnsi="Times New Roman" w:cs="Times New Roman"/>
          <w:sz w:val="24"/>
          <w:szCs w:val="24"/>
        </w:rPr>
        <w:t>23,251.97</w:t>
      </w:r>
      <w:r w:rsidRPr="00EF153E">
        <w:rPr>
          <w:rFonts w:ascii="Times New Roman" w:hAnsi="Times New Roman" w:cs="Times New Roman"/>
          <w:sz w:val="24"/>
          <w:szCs w:val="24"/>
        </w:rPr>
        <w:t xml:space="preserve"> crore (</w:t>
      </w:r>
      <w:r w:rsidR="00973A27">
        <w:rPr>
          <w:rFonts w:ascii="Times New Roman" w:hAnsi="Times New Roman" w:cs="Times New Roman"/>
          <w:sz w:val="24"/>
          <w:szCs w:val="24"/>
        </w:rPr>
        <w:t>86.76</w:t>
      </w:r>
      <w:r w:rsidRPr="00EF153E">
        <w:rPr>
          <w:rFonts w:ascii="Times New Roman" w:hAnsi="Times New Roman" w:cs="Times New Roman"/>
          <w:sz w:val="24"/>
          <w:szCs w:val="24"/>
        </w:rPr>
        <w:t xml:space="preserve"> </w:t>
      </w:r>
      <w:r w:rsidRPr="00EF153E">
        <w:rPr>
          <w:rFonts w:ascii="Times New Roman" w:hAnsi="Times New Roman" w:cs="Times New Roman"/>
          <w:i/>
          <w:sz w:val="24"/>
          <w:szCs w:val="24"/>
        </w:rPr>
        <w:t xml:space="preserve">per cent </w:t>
      </w:r>
      <w:r w:rsidRPr="00EF153E">
        <w:rPr>
          <w:rFonts w:ascii="Times New Roman" w:hAnsi="Times New Roman" w:cs="Times New Roman"/>
          <w:sz w:val="24"/>
          <w:szCs w:val="24"/>
        </w:rPr>
        <w:t xml:space="preserve">of total expenditure) were reconciled by the State Government during </w:t>
      </w:r>
      <w:r w:rsidR="00BF6175" w:rsidRPr="00EF153E">
        <w:rPr>
          <w:rFonts w:ascii="Times New Roman" w:hAnsi="Times New Roman" w:cs="Times New Roman"/>
          <w:sz w:val="24"/>
          <w:szCs w:val="24"/>
        </w:rPr>
        <w:t>202</w:t>
      </w:r>
      <w:r w:rsidR="007D44A7">
        <w:rPr>
          <w:rFonts w:ascii="Times New Roman" w:hAnsi="Times New Roman" w:cs="Times New Roman"/>
          <w:sz w:val="24"/>
          <w:szCs w:val="24"/>
        </w:rPr>
        <w:t>1</w:t>
      </w:r>
      <w:r w:rsidR="00BF6175" w:rsidRPr="00EF153E">
        <w:rPr>
          <w:rFonts w:ascii="Times New Roman" w:hAnsi="Times New Roman" w:cs="Times New Roman"/>
          <w:sz w:val="24"/>
          <w:szCs w:val="24"/>
        </w:rPr>
        <w:t>-2</w:t>
      </w:r>
      <w:r w:rsidR="007D44A7">
        <w:rPr>
          <w:rFonts w:ascii="Times New Roman" w:hAnsi="Times New Roman" w:cs="Times New Roman"/>
          <w:sz w:val="24"/>
          <w:szCs w:val="24"/>
        </w:rPr>
        <w:t>2</w:t>
      </w:r>
      <w:r w:rsidR="00F2545D" w:rsidRPr="00EF153E">
        <w:rPr>
          <w:rFonts w:ascii="Times New Roman" w:hAnsi="Times New Roman" w:cs="Times New Roman"/>
          <w:sz w:val="24"/>
          <w:szCs w:val="24"/>
        </w:rPr>
        <w:t>,</w:t>
      </w:r>
      <w:r w:rsidR="00BF6175" w:rsidRPr="00EF153E">
        <w:rPr>
          <w:rFonts w:ascii="Times New Roman" w:hAnsi="Times New Roman" w:cs="Times New Roman"/>
          <w:sz w:val="24"/>
          <w:szCs w:val="24"/>
        </w:rPr>
        <w:t xml:space="preserve"> </w:t>
      </w:r>
      <w:r w:rsidR="00811BC6" w:rsidRPr="00EF153E">
        <w:rPr>
          <w:rFonts w:ascii="Times New Roman" w:hAnsi="Times New Roman" w:cs="Times New Roman"/>
          <w:i/>
          <w:iCs/>
          <w:sz w:val="24"/>
          <w:szCs w:val="24"/>
        </w:rPr>
        <w:t>i.e.</w:t>
      </w:r>
      <w:r w:rsidR="00F2545D" w:rsidRPr="00EF153E">
        <w:rPr>
          <w:rFonts w:ascii="Times New Roman" w:hAnsi="Times New Roman" w:cs="Times New Roman"/>
          <w:i/>
          <w:iCs/>
          <w:sz w:val="24"/>
          <w:szCs w:val="24"/>
        </w:rPr>
        <w:t>,</w:t>
      </w:r>
      <w:r w:rsidR="00811BC6" w:rsidRPr="00EF153E">
        <w:rPr>
          <w:rFonts w:ascii="Times New Roman" w:hAnsi="Times New Roman" w:cs="Times New Roman"/>
          <w:sz w:val="24"/>
          <w:szCs w:val="24"/>
        </w:rPr>
        <w:t xml:space="preserve"> the previous year.</w:t>
      </w:r>
      <w:r w:rsidR="00517867">
        <w:rPr>
          <w:rFonts w:ascii="Times New Roman" w:hAnsi="Times New Roman" w:cs="Times New Roman"/>
          <w:sz w:val="24"/>
          <w:szCs w:val="24"/>
        </w:rPr>
        <w:t xml:space="preserve"> </w:t>
      </w:r>
    </w:p>
    <w:p w14:paraId="07006F13" w14:textId="77777777" w:rsidR="00E92636" w:rsidRPr="00EF153E" w:rsidRDefault="00EA7270" w:rsidP="00FC1E42">
      <w:pPr>
        <w:pStyle w:val="ListParagraph"/>
        <w:widowControl w:val="0"/>
        <w:numPr>
          <w:ilvl w:val="0"/>
          <w:numId w:val="20"/>
        </w:numPr>
        <w:autoSpaceDE w:val="0"/>
        <w:autoSpaceDN w:val="0"/>
        <w:adjustRightInd w:val="0"/>
        <w:spacing w:before="240" w:after="240" w:line="288" w:lineRule="auto"/>
        <w:ind w:left="1077"/>
        <w:contextualSpacing w:val="0"/>
        <w:jc w:val="both"/>
        <w:rPr>
          <w:rFonts w:ascii="Times New Roman" w:hAnsi="Times New Roman" w:cs="Times New Roman"/>
          <w:sz w:val="24"/>
          <w:szCs w:val="24"/>
        </w:rPr>
      </w:pPr>
      <w:r w:rsidRPr="00EF153E">
        <w:rPr>
          <w:rFonts w:ascii="Times New Roman" w:hAnsi="Times New Roman" w:cs="Times New Roman"/>
          <w:b/>
          <w:sz w:val="24"/>
          <w:szCs w:val="24"/>
        </w:rPr>
        <w:t>Bookings</w:t>
      </w:r>
      <w:r w:rsidRPr="00EF153E">
        <w:rPr>
          <w:rFonts w:ascii="Times New Roman" w:hAnsi="Times New Roman" w:cs="Times New Roman"/>
          <w:b/>
          <w:bCs/>
          <w:sz w:val="24"/>
          <w:szCs w:val="24"/>
        </w:rPr>
        <w:t xml:space="preserve"> under Minor Head 800-Other Expe</w:t>
      </w:r>
      <w:r w:rsidR="00E92636" w:rsidRPr="00EF153E">
        <w:rPr>
          <w:rFonts w:ascii="Times New Roman" w:hAnsi="Times New Roman" w:cs="Times New Roman"/>
          <w:b/>
          <w:bCs/>
          <w:sz w:val="24"/>
          <w:szCs w:val="24"/>
        </w:rPr>
        <w:t>nditure and 800-Other Receipts:</w:t>
      </w:r>
    </w:p>
    <w:p w14:paraId="36B1D57D" w14:textId="77777777" w:rsidR="00553DB2" w:rsidRPr="00EF153E" w:rsidRDefault="00EA7270" w:rsidP="00B90901">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The Minor Head 800-Other Expenditure/800-Other Receipts is to be operated only when the appropriate minor head has not been provided in the accounts. Routine operation of Minor Head 800 should be </w:t>
      </w:r>
      <w:r w:rsidR="00811BC6" w:rsidRPr="00EF153E">
        <w:rPr>
          <w:rFonts w:ascii="Times New Roman" w:hAnsi="Times New Roman" w:cs="Times New Roman"/>
          <w:sz w:val="24"/>
          <w:szCs w:val="24"/>
        </w:rPr>
        <w:t>discouraged since</w:t>
      </w:r>
      <w:r w:rsidRPr="00EF153E">
        <w:rPr>
          <w:rFonts w:ascii="Times New Roman" w:hAnsi="Times New Roman" w:cs="Times New Roman"/>
          <w:sz w:val="24"/>
          <w:szCs w:val="24"/>
        </w:rPr>
        <w:t xml:space="preserve"> it renders the accounts opaque.</w:t>
      </w:r>
    </w:p>
    <w:p w14:paraId="5F57EEFB" w14:textId="77777777" w:rsidR="00553DB2" w:rsidRPr="00EF153E" w:rsidRDefault="00EA7270" w:rsidP="00B90901">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During the year </w:t>
      </w:r>
      <w:r w:rsidR="007C1EA2" w:rsidRPr="00EF153E">
        <w:rPr>
          <w:rFonts w:ascii="Times New Roman" w:hAnsi="Times New Roman" w:cs="Times New Roman"/>
          <w:sz w:val="24"/>
          <w:szCs w:val="24"/>
        </w:rPr>
        <w:t>202</w:t>
      </w:r>
      <w:r w:rsidR="007D44A7">
        <w:rPr>
          <w:rFonts w:ascii="Times New Roman" w:hAnsi="Times New Roman" w:cs="Times New Roman"/>
          <w:sz w:val="24"/>
          <w:szCs w:val="24"/>
        </w:rPr>
        <w:t>2</w:t>
      </w:r>
      <w:r w:rsidR="007C1EA2" w:rsidRPr="00EF153E">
        <w:rPr>
          <w:rFonts w:ascii="Times New Roman" w:hAnsi="Times New Roman" w:cs="Times New Roman"/>
          <w:sz w:val="24"/>
          <w:szCs w:val="24"/>
        </w:rPr>
        <w:t>-2</w:t>
      </w:r>
      <w:r w:rsidR="007D44A7">
        <w:rPr>
          <w:rFonts w:ascii="Times New Roman" w:hAnsi="Times New Roman" w:cs="Times New Roman"/>
          <w:sz w:val="24"/>
          <w:szCs w:val="24"/>
        </w:rPr>
        <w:t>3</w:t>
      </w:r>
      <w:r w:rsidRPr="00EF153E">
        <w:rPr>
          <w:rFonts w:ascii="Times New Roman" w:hAnsi="Times New Roman" w:cs="Times New Roman"/>
          <w:sz w:val="24"/>
          <w:szCs w:val="24"/>
        </w:rPr>
        <w:t xml:space="preserve">, </w:t>
      </w:r>
      <w:r w:rsidR="00EF153E">
        <w:rPr>
          <w:rFonts w:ascii="Times New Roman" w:hAnsi="Times New Roman" w:cs="Times New Roman"/>
          <w:sz w:val="24"/>
          <w:szCs w:val="24"/>
        </w:rPr>
        <w:t>₹</w:t>
      </w:r>
      <w:r w:rsidR="00AB5388">
        <w:rPr>
          <w:rFonts w:ascii="Times New Roman" w:hAnsi="Times New Roman" w:cs="Times New Roman"/>
          <w:sz w:val="24"/>
          <w:szCs w:val="24"/>
        </w:rPr>
        <w:t>2,830.11</w:t>
      </w:r>
      <w:r w:rsidRPr="00EF153E">
        <w:rPr>
          <w:rFonts w:ascii="Times New Roman" w:hAnsi="Times New Roman" w:cs="Times New Roman"/>
          <w:sz w:val="24"/>
          <w:szCs w:val="24"/>
        </w:rPr>
        <w:t xml:space="preserve"> crore under </w:t>
      </w:r>
      <w:r w:rsidR="00F4453E">
        <w:rPr>
          <w:rFonts w:ascii="Times New Roman" w:hAnsi="Times New Roman" w:cs="Times New Roman"/>
          <w:sz w:val="24"/>
          <w:szCs w:val="24"/>
        </w:rPr>
        <w:t>65</w:t>
      </w:r>
      <w:r w:rsidRPr="00EF153E">
        <w:rPr>
          <w:rFonts w:ascii="Times New Roman" w:hAnsi="Times New Roman" w:cs="Times New Roman"/>
          <w:sz w:val="24"/>
          <w:szCs w:val="24"/>
        </w:rPr>
        <w:t xml:space="preserve"> Major Heads of accounts, constituting </w:t>
      </w:r>
      <w:r w:rsidR="00AB5388">
        <w:rPr>
          <w:rFonts w:ascii="Times New Roman" w:hAnsi="Times New Roman" w:cs="Times New Roman"/>
          <w:sz w:val="24"/>
          <w:szCs w:val="24"/>
        </w:rPr>
        <w:t>16.04</w:t>
      </w:r>
      <w:r w:rsidR="007C1EA2" w:rsidRPr="00EF153E">
        <w:rPr>
          <w:rFonts w:ascii="Times New Roman" w:hAnsi="Times New Roman" w:cs="Times New Roman"/>
          <w:sz w:val="24"/>
          <w:szCs w:val="24"/>
        </w:rPr>
        <w:t xml:space="preserve"> </w:t>
      </w:r>
      <w:r w:rsidRPr="00EF153E">
        <w:rPr>
          <w:rFonts w:ascii="Times New Roman" w:hAnsi="Times New Roman" w:cs="Times New Roman"/>
          <w:i/>
          <w:sz w:val="24"/>
          <w:szCs w:val="24"/>
        </w:rPr>
        <w:t xml:space="preserve">per cent </w:t>
      </w:r>
      <w:r w:rsidRPr="00EF153E">
        <w:rPr>
          <w:rFonts w:ascii="Times New Roman" w:hAnsi="Times New Roman" w:cs="Times New Roman"/>
          <w:sz w:val="24"/>
          <w:szCs w:val="24"/>
        </w:rPr>
        <w:t xml:space="preserve">of the total Revenue and </w:t>
      </w:r>
      <w:hyperlink r:id="rId11" w:history="1">
        <w:r w:rsidR="00662A7E" w:rsidRPr="00EF153E">
          <w:rPr>
            <w:rStyle w:val="Hyperlink"/>
            <w:rFonts w:ascii="Times New Roman" w:hAnsi="Times New Roman" w:cs="Times New Roman"/>
            <w:color w:val="auto"/>
            <w:sz w:val="24"/>
            <w:szCs w:val="24"/>
            <w:u w:val="none"/>
          </w:rPr>
          <w:t>Capital</w:t>
        </w:r>
      </w:hyperlink>
      <w:r w:rsidRPr="00EF153E">
        <w:rPr>
          <w:rFonts w:ascii="Times New Roman" w:hAnsi="Times New Roman" w:cs="Times New Roman"/>
          <w:sz w:val="24"/>
          <w:szCs w:val="24"/>
        </w:rPr>
        <w:t xml:space="preserve"> expenditure (</w:t>
      </w:r>
      <w:r w:rsidR="00EF153E">
        <w:rPr>
          <w:rFonts w:ascii="Times New Roman" w:hAnsi="Times New Roman" w:cs="Times New Roman"/>
          <w:sz w:val="24"/>
          <w:szCs w:val="24"/>
        </w:rPr>
        <w:t>₹</w:t>
      </w:r>
      <w:r w:rsidR="007D44A7">
        <w:rPr>
          <w:rFonts w:ascii="Times New Roman" w:hAnsi="Times New Roman" w:cs="Times New Roman"/>
          <w:sz w:val="24"/>
          <w:szCs w:val="24"/>
        </w:rPr>
        <w:t>17</w:t>
      </w:r>
      <w:r w:rsidR="001F5A7F">
        <w:rPr>
          <w:rFonts w:ascii="Times New Roman" w:hAnsi="Times New Roman" w:cs="Times New Roman"/>
          <w:sz w:val="24"/>
          <w:szCs w:val="24"/>
        </w:rPr>
        <w:t>,</w:t>
      </w:r>
      <w:r w:rsidR="00340006">
        <w:rPr>
          <w:rFonts w:ascii="Times New Roman" w:hAnsi="Times New Roman" w:cs="Times New Roman"/>
          <w:sz w:val="24"/>
          <w:szCs w:val="24"/>
        </w:rPr>
        <w:t>643.21</w:t>
      </w:r>
      <w:r w:rsidRPr="00EF153E">
        <w:rPr>
          <w:rFonts w:ascii="Times New Roman" w:hAnsi="Times New Roman" w:cs="Times New Roman"/>
          <w:sz w:val="24"/>
          <w:szCs w:val="24"/>
        </w:rPr>
        <w:t xml:space="preserve"> </w:t>
      </w:r>
      <w:r w:rsidR="00662A7E" w:rsidRPr="00EF153E">
        <w:rPr>
          <w:rFonts w:ascii="Times New Roman" w:hAnsi="Times New Roman" w:cs="Times New Roman"/>
          <w:sz w:val="24"/>
          <w:szCs w:val="24"/>
        </w:rPr>
        <w:t>crore)</w:t>
      </w:r>
      <w:r w:rsidRPr="00EF153E">
        <w:rPr>
          <w:rFonts w:ascii="Times New Roman" w:hAnsi="Times New Roman" w:cs="Times New Roman"/>
          <w:sz w:val="24"/>
          <w:szCs w:val="24"/>
        </w:rPr>
        <w:t xml:space="preserve"> was classified under the Minor Head 800-Other Expenditure in the accounts. </w:t>
      </w:r>
      <w:r w:rsidR="008E5430" w:rsidRPr="00EF153E">
        <w:rPr>
          <w:rFonts w:ascii="Times New Roman" w:hAnsi="Times New Roman" w:cs="Times New Roman"/>
          <w:sz w:val="24"/>
          <w:szCs w:val="24"/>
        </w:rPr>
        <w:t xml:space="preserve">During the previous year </w:t>
      </w:r>
      <w:r w:rsidR="00455937" w:rsidRPr="00EF153E">
        <w:rPr>
          <w:rFonts w:ascii="Times New Roman" w:hAnsi="Times New Roman" w:cs="Times New Roman"/>
          <w:sz w:val="24"/>
          <w:szCs w:val="24"/>
        </w:rPr>
        <w:t>202</w:t>
      </w:r>
      <w:r w:rsidR="007D44A7">
        <w:rPr>
          <w:rFonts w:ascii="Times New Roman" w:hAnsi="Times New Roman" w:cs="Times New Roman"/>
          <w:sz w:val="24"/>
          <w:szCs w:val="24"/>
        </w:rPr>
        <w:t>1</w:t>
      </w:r>
      <w:r w:rsidR="00455937" w:rsidRPr="00EF153E">
        <w:rPr>
          <w:rFonts w:ascii="Times New Roman" w:hAnsi="Times New Roman" w:cs="Times New Roman"/>
          <w:sz w:val="24"/>
          <w:szCs w:val="24"/>
        </w:rPr>
        <w:t>-2</w:t>
      </w:r>
      <w:r w:rsidR="007D44A7">
        <w:rPr>
          <w:rFonts w:ascii="Times New Roman" w:hAnsi="Times New Roman" w:cs="Times New Roman"/>
          <w:sz w:val="24"/>
          <w:szCs w:val="24"/>
        </w:rPr>
        <w:t>2</w:t>
      </w:r>
      <w:r w:rsidR="008E5430" w:rsidRPr="00EF153E">
        <w:rPr>
          <w:rFonts w:ascii="Times New Roman" w:hAnsi="Times New Roman" w:cs="Times New Roman"/>
          <w:sz w:val="24"/>
          <w:szCs w:val="24"/>
        </w:rPr>
        <w:t xml:space="preserve">, </w:t>
      </w:r>
      <w:r w:rsidR="00EF153E">
        <w:rPr>
          <w:rFonts w:ascii="Times New Roman" w:hAnsi="Times New Roman" w:cs="Times New Roman"/>
          <w:sz w:val="24"/>
          <w:szCs w:val="24"/>
        </w:rPr>
        <w:t>₹</w:t>
      </w:r>
      <w:r w:rsidR="007D44A7">
        <w:rPr>
          <w:rFonts w:ascii="Times New Roman" w:hAnsi="Times New Roman" w:cs="Times New Roman"/>
          <w:sz w:val="24"/>
          <w:szCs w:val="24"/>
        </w:rPr>
        <w:t>2,277.80</w:t>
      </w:r>
      <w:r w:rsidR="008E5430" w:rsidRPr="00EF153E">
        <w:rPr>
          <w:rFonts w:ascii="Times New Roman" w:hAnsi="Times New Roman" w:cs="Times New Roman"/>
          <w:sz w:val="24"/>
          <w:szCs w:val="24"/>
        </w:rPr>
        <w:t xml:space="preserve"> crore under </w:t>
      </w:r>
      <w:r w:rsidR="00455937" w:rsidRPr="00EF153E">
        <w:rPr>
          <w:rFonts w:ascii="Times New Roman" w:hAnsi="Times New Roman" w:cs="Times New Roman"/>
          <w:sz w:val="24"/>
          <w:szCs w:val="24"/>
        </w:rPr>
        <w:t>65</w:t>
      </w:r>
      <w:r w:rsidR="008E5430" w:rsidRPr="00EF153E">
        <w:rPr>
          <w:rFonts w:ascii="Times New Roman" w:hAnsi="Times New Roman" w:cs="Times New Roman"/>
          <w:sz w:val="24"/>
          <w:szCs w:val="24"/>
        </w:rPr>
        <w:t xml:space="preserve"> Major </w:t>
      </w:r>
      <w:r w:rsidR="00327FBD">
        <w:rPr>
          <w:rFonts w:ascii="Times New Roman" w:hAnsi="Times New Roman" w:cs="Times New Roman"/>
          <w:sz w:val="24"/>
          <w:szCs w:val="24"/>
        </w:rPr>
        <w:t xml:space="preserve">Heads of accounts, constituting </w:t>
      </w:r>
      <w:r w:rsidR="007D44A7">
        <w:rPr>
          <w:rFonts w:ascii="Times New Roman" w:hAnsi="Times New Roman" w:cs="Times New Roman"/>
          <w:sz w:val="24"/>
          <w:szCs w:val="24"/>
        </w:rPr>
        <w:t>14.33</w:t>
      </w:r>
      <w:r w:rsidR="00455937" w:rsidRPr="00EF153E">
        <w:rPr>
          <w:rFonts w:ascii="Times New Roman" w:hAnsi="Times New Roman" w:cs="Times New Roman"/>
          <w:sz w:val="24"/>
          <w:szCs w:val="24"/>
        </w:rPr>
        <w:t xml:space="preserve"> </w:t>
      </w:r>
      <w:r w:rsidR="008E5430" w:rsidRPr="00EF153E">
        <w:rPr>
          <w:rFonts w:ascii="Times New Roman" w:hAnsi="Times New Roman" w:cs="Times New Roman"/>
          <w:i/>
          <w:sz w:val="24"/>
          <w:szCs w:val="24"/>
        </w:rPr>
        <w:t xml:space="preserve">per cent </w:t>
      </w:r>
      <w:r w:rsidR="008E5430" w:rsidRPr="00EF153E">
        <w:rPr>
          <w:rFonts w:ascii="Times New Roman" w:hAnsi="Times New Roman" w:cs="Times New Roman"/>
          <w:sz w:val="24"/>
          <w:szCs w:val="24"/>
        </w:rPr>
        <w:t xml:space="preserve">of the total Revenue and </w:t>
      </w:r>
      <w:hyperlink r:id="rId12" w:history="1">
        <w:r w:rsidR="008E5430" w:rsidRPr="00EF153E">
          <w:rPr>
            <w:rStyle w:val="Hyperlink"/>
            <w:rFonts w:ascii="Times New Roman" w:hAnsi="Times New Roman" w:cs="Times New Roman"/>
            <w:color w:val="auto"/>
            <w:sz w:val="24"/>
            <w:szCs w:val="24"/>
            <w:u w:val="none"/>
          </w:rPr>
          <w:t>Capital</w:t>
        </w:r>
      </w:hyperlink>
      <w:r w:rsidR="008E5430" w:rsidRPr="00EF153E">
        <w:rPr>
          <w:rFonts w:ascii="Times New Roman" w:hAnsi="Times New Roman" w:cs="Times New Roman"/>
          <w:sz w:val="24"/>
          <w:szCs w:val="24"/>
        </w:rPr>
        <w:t xml:space="preserve"> expenditure (</w:t>
      </w:r>
      <w:r w:rsidR="00EF153E">
        <w:rPr>
          <w:rFonts w:ascii="Times New Roman" w:hAnsi="Times New Roman" w:cs="Times New Roman"/>
          <w:sz w:val="24"/>
          <w:szCs w:val="24"/>
        </w:rPr>
        <w:t>₹</w:t>
      </w:r>
      <w:r w:rsidR="007D44A7">
        <w:rPr>
          <w:rFonts w:ascii="Times New Roman" w:hAnsi="Times New Roman" w:cs="Times New Roman"/>
          <w:sz w:val="24"/>
          <w:szCs w:val="24"/>
        </w:rPr>
        <w:t>15,894.95</w:t>
      </w:r>
      <w:r w:rsidR="008E5430" w:rsidRPr="00EF153E">
        <w:rPr>
          <w:rFonts w:ascii="Times New Roman" w:hAnsi="Times New Roman" w:cs="Times New Roman"/>
          <w:sz w:val="24"/>
          <w:szCs w:val="24"/>
        </w:rPr>
        <w:t xml:space="preserve"> crore) was classified under the Minor Head 800-Other Expenditure in the accounts.</w:t>
      </w:r>
    </w:p>
    <w:p w14:paraId="4B77F377" w14:textId="52557202" w:rsidR="00C51B69" w:rsidRDefault="00EA7270" w:rsidP="00B90901">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Similarly, </w:t>
      </w:r>
      <w:r w:rsidR="00EF153E">
        <w:rPr>
          <w:rFonts w:ascii="Times New Roman" w:hAnsi="Times New Roman" w:cs="Times New Roman"/>
          <w:sz w:val="24"/>
          <w:szCs w:val="24"/>
        </w:rPr>
        <w:t>₹</w:t>
      </w:r>
      <w:r w:rsidR="00C64087">
        <w:rPr>
          <w:rFonts w:ascii="Times New Roman" w:hAnsi="Times New Roman" w:cs="Times New Roman"/>
          <w:sz w:val="24"/>
          <w:szCs w:val="24"/>
        </w:rPr>
        <w:t>89.</w:t>
      </w:r>
      <w:r w:rsidR="001F2747">
        <w:rPr>
          <w:rFonts w:ascii="Times New Roman" w:hAnsi="Times New Roman" w:cs="Times New Roman"/>
          <w:sz w:val="24"/>
          <w:szCs w:val="24"/>
        </w:rPr>
        <w:t>7</w:t>
      </w:r>
      <w:r w:rsidR="000065F2">
        <w:rPr>
          <w:rFonts w:ascii="Times New Roman" w:hAnsi="Times New Roman" w:cs="Times New Roman"/>
          <w:sz w:val="24"/>
          <w:szCs w:val="24"/>
        </w:rPr>
        <w:t>6</w:t>
      </w:r>
      <w:r w:rsidRPr="00EF153E">
        <w:rPr>
          <w:rFonts w:ascii="Times New Roman" w:hAnsi="Times New Roman" w:cs="Times New Roman"/>
          <w:sz w:val="24"/>
          <w:szCs w:val="24"/>
        </w:rPr>
        <w:t xml:space="preserve"> crore under </w:t>
      </w:r>
      <w:r w:rsidR="00C64087">
        <w:rPr>
          <w:rFonts w:ascii="Times New Roman" w:hAnsi="Times New Roman" w:cs="Times New Roman"/>
          <w:sz w:val="24"/>
          <w:szCs w:val="24"/>
        </w:rPr>
        <w:t>2</w:t>
      </w:r>
      <w:r w:rsidR="00AB5388">
        <w:rPr>
          <w:rFonts w:ascii="Times New Roman" w:hAnsi="Times New Roman" w:cs="Times New Roman"/>
          <w:sz w:val="24"/>
          <w:szCs w:val="24"/>
        </w:rPr>
        <w:t>3</w:t>
      </w:r>
      <w:r w:rsidRPr="00EF153E">
        <w:rPr>
          <w:rFonts w:ascii="Times New Roman" w:hAnsi="Times New Roman" w:cs="Times New Roman"/>
          <w:sz w:val="24"/>
          <w:szCs w:val="24"/>
        </w:rPr>
        <w:t xml:space="preserve"> Major Heads of Account, constituting </w:t>
      </w:r>
      <w:r w:rsidR="001151A4">
        <w:rPr>
          <w:rFonts w:ascii="Times New Roman" w:hAnsi="Times New Roman" w:cs="Times New Roman"/>
          <w:sz w:val="24"/>
          <w:szCs w:val="24"/>
        </w:rPr>
        <w:t>0.</w:t>
      </w:r>
      <w:r w:rsidR="00C64087">
        <w:rPr>
          <w:rFonts w:ascii="Times New Roman" w:hAnsi="Times New Roman" w:cs="Times New Roman"/>
          <w:sz w:val="24"/>
          <w:szCs w:val="24"/>
        </w:rPr>
        <w:t>5</w:t>
      </w:r>
      <w:r w:rsidR="00340006">
        <w:rPr>
          <w:rFonts w:ascii="Times New Roman" w:hAnsi="Times New Roman" w:cs="Times New Roman"/>
          <w:sz w:val="24"/>
          <w:szCs w:val="24"/>
        </w:rPr>
        <w:t>6</w:t>
      </w:r>
      <w:r w:rsidR="00455937" w:rsidRPr="00EF153E">
        <w:rPr>
          <w:rFonts w:ascii="Times New Roman" w:hAnsi="Times New Roman" w:cs="Times New Roman"/>
          <w:sz w:val="24"/>
          <w:szCs w:val="24"/>
        </w:rPr>
        <w:t xml:space="preserve"> </w:t>
      </w:r>
      <w:r w:rsidRPr="00EF153E">
        <w:rPr>
          <w:rFonts w:ascii="Times New Roman" w:hAnsi="Times New Roman" w:cs="Times New Roman"/>
          <w:i/>
          <w:sz w:val="24"/>
          <w:szCs w:val="24"/>
        </w:rPr>
        <w:t xml:space="preserve">per cent </w:t>
      </w:r>
      <w:r w:rsidRPr="00EF153E">
        <w:rPr>
          <w:rFonts w:ascii="Times New Roman" w:hAnsi="Times New Roman" w:cs="Times New Roman"/>
          <w:sz w:val="24"/>
          <w:szCs w:val="24"/>
        </w:rPr>
        <w:t>of the total Revenue Receipts (</w:t>
      </w:r>
      <w:r w:rsidR="00EF153E">
        <w:rPr>
          <w:rFonts w:ascii="Times New Roman" w:hAnsi="Times New Roman" w:cs="Times New Roman"/>
          <w:sz w:val="24"/>
          <w:szCs w:val="24"/>
        </w:rPr>
        <w:t>₹</w:t>
      </w:r>
      <w:r w:rsidR="00340006">
        <w:rPr>
          <w:rFonts w:ascii="Times New Roman" w:hAnsi="Times New Roman" w:cs="Times New Roman"/>
          <w:sz w:val="24"/>
          <w:szCs w:val="24"/>
        </w:rPr>
        <w:t>15,893.15</w:t>
      </w:r>
      <w:r w:rsidRPr="00EF153E">
        <w:rPr>
          <w:rFonts w:ascii="Times New Roman" w:hAnsi="Times New Roman" w:cs="Times New Roman"/>
          <w:sz w:val="24"/>
          <w:szCs w:val="24"/>
        </w:rPr>
        <w:t xml:space="preserve"> crore) was classified under </w:t>
      </w:r>
      <w:r w:rsidR="002E52D5">
        <w:rPr>
          <w:rFonts w:ascii="Times New Roman" w:hAnsi="Times New Roman" w:cs="Times New Roman"/>
          <w:sz w:val="24"/>
          <w:szCs w:val="24"/>
        </w:rPr>
        <w:t xml:space="preserve">Minor Head </w:t>
      </w:r>
      <w:r w:rsidRPr="00EF153E">
        <w:rPr>
          <w:rFonts w:ascii="Times New Roman" w:hAnsi="Times New Roman" w:cs="Times New Roman"/>
          <w:sz w:val="24"/>
          <w:szCs w:val="24"/>
        </w:rPr>
        <w:t xml:space="preserve">800-Other Receipts in the accounts. </w:t>
      </w:r>
      <w:r w:rsidR="008E5430" w:rsidRPr="00EF153E">
        <w:rPr>
          <w:rFonts w:ascii="Times New Roman" w:hAnsi="Times New Roman" w:cs="Times New Roman"/>
          <w:sz w:val="24"/>
          <w:szCs w:val="24"/>
        </w:rPr>
        <w:t xml:space="preserve">During the previous year, </w:t>
      </w:r>
      <w:r w:rsidR="00EF153E">
        <w:rPr>
          <w:rFonts w:ascii="Times New Roman" w:hAnsi="Times New Roman" w:cs="Times New Roman"/>
          <w:sz w:val="24"/>
          <w:szCs w:val="24"/>
        </w:rPr>
        <w:t>₹</w:t>
      </w:r>
      <w:r w:rsidR="001151A4">
        <w:rPr>
          <w:rFonts w:ascii="Times New Roman" w:hAnsi="Times New Roman" w:cs="Times New Roman"/>
          <w:sz w:val="24"/>
          <w:szCs w:val="24"/>
        </w:rPr>
        <w:t>84.71</w:t>
      </w:r>
      <w:r w:rsidR="008E5430" w:rsidRPr="00EF153E">
        <w:rPr>
          <w:rFonts w:ascii="Times New Roman" w:hAnsi="Times New Roman" w:cs="Times New Roman"/>
          <w:sz w:val="24"/>
          <w:szCs w:val="24"/>
        </w:rPr>
        <w:t xml:space="preserve"> crore under </w:t>
      </w:r>
      <w:r w:rsidR="001151A4">
        <w:rPr>
          <w:rFonts w:ascii="Times New Roman" w:hAnsi="Times New Roman" w:cs="Times New Roman"/>
          <w:sz w:val="24"/>
          <w:szCs w:val="24"/>
        </w:rPr>
        <w:t>24</w:t>
      </w:r>
      <w:r w:rsidR="008E5430" w:rsidRPr="00EF153E">
        <w:rPr>
          <w:rFonts w:ascii="Times New Roman" w:hAnsi="Times New Roman" w:cs="Times New Roman"/>
          <w:sz w:val="24"/>
          <w:szCs w:val="24"/>
        </w:rPr>
        <w:t xml:space="preserve"> Major Heads of Account, constituting </w:t>
      </w:r>
      <w:r w:rsidR="001151A4">
        <w:rPr>
          <w:rFonts w:ascii="Times New Roman" w:hAnsi="Times New Roman" w:cs="Times New Roman"/>
          <w:sz w:val="24"/>
          <w:szCs w:val="24"/>
        </w:rPr>
        <w:t>0.60</w:t>
      </w:r>
      <w:r w:rsidR="00455937" w:rsidRPr="00EF153E">
        <w:rPr>
          <w:rFonts w:ascii="Times New Roman" w:hAnsi="Times New Roman" w:cs="Times New Roman"/>
          <w:sz w:val="24"/>
          <w:szCs w:val="24"/>
        </w:rPr>
        <w:t xml:space="preserve"> </w:t>
      </w:r>
      <w:r w:rsidR="008E5430" w:rsidRPr="00EF153E">
        <w:rPr>
          <w:rFonts w:ascii="Times New Roman" w:hAnsi="Times New Roman" w:cs="Times New Roman"/>
          <w:i/>
          <w:sz w:val="24"/>
          <w:szCs w:val="24"/>
        </w:rPr>
        <w:t xml:space="preserve">per cent </w:t>
      </w:r>
      <w:r w:rsidR="008E5430" w:rsidRPr="00EF153E">
        <w:rPr>
          <w:rFonts w:ascii="Times New Roman" w:hAnsi="Times New Roman" w:cs="Times New Roman"/>
          <w:sz w:val="24"/>
          <w:szCs w:val="24"/>
        </w:rPr>
        <w:t>of the total Revenue Receipts (</w:t>
      </w:r>
      <w:r w:rsidR="00EF153E">
        <w:rPr>
          <w:rFonts w:ascii="Times New Roman" w:hAnsi="Times New Roman" w:cs="Times New Roman"/>
          <w:sz w:val="24"/>
          <w:szCs w:val="24"/>
        </w:rPr>
        <w:t>₹</w:t>
      </w:r>
      <w:r w:rsidR="001151A4">
        <w:rPr>
          <w:rFonts w:ascii="Times New Roman" w:hAnsi="Times New Roman" w:cs="Times New Roman"/>
          <w:sz w:val="24"/>
          <w:szCs w:val="24"/>
        </w:rPr>
        <w:t>14,091.00</w:t>
      </w:r>
      <w:r w:rsidR="008E5430" w:rsidRPr="00EF153E">
        <w:rPr>
          <w:rFonts w:ascii="Times New Roman" w:hAnsi="Times New Roman" w:cs="Times New Roman"/>
          <w:sz w:val="24"/>
          <w:szCs w:val="24"/>
        </w:rPr>
        <w:t xml:space="preserve"> crore) was classified under </w:t>
      </w:r>
      <w:r w:rsidR="002E52D5">
        <w:rPr>
          <w:rFonts w:ascii="Times New Roman" w:hAnsi="Times New Roman" w:cs="Times New Roman"/>
          <w:sz w:val="24"/>
          <w:szCs w:val="24"/>
        </w:rPr>
        <w:t xml:space="preserve">Minor Head </w:t>
      </w:r>
      <w:r w:rsidR="008E5430" w:rsidRPr="00EF153E">
        <w:rPr>
          <w:rFonts w:ascii="Times New Roman" w:hAnsi="Times New Roman" w:cs="Times New Roman"/>
          <w:sz w:val="24"/>
          <w:szCs w:val="24"/>
        </w:rPr>
        <w:t>800-Other Receipts in the accounts.</w:t>
      </w:r>
    </w:p>
    <w:p w14:paraId="53C405BB" w14:textId="77777777" w:rsidR="00DA472D" w:rsidRDefault="00DA472D" w:rsidP="00CF2F14">
      <w:pPr>
        <w:widowControl w:val="0"/>
        <w:autoSpaceDE w:val="0"/>
        <w:autoSpaceDN w:val="0"/>
        <w:adjustRightInd w:val="0"/>
        <w:spacing w:before="120" w:after="120" w:line="288" w:lineRule="auto"/>
        <w:ind w:left="360"/>
        <w:jc w:val="both"/>
        <w:rPr>
          <w:rFonts w:ascii="Times New Roman" w:hAnsi="Times New Roman" w:cs="Times New Roman"/>
          <w:i/>
          <w:sz w:val="24"/>
          <w:szCs w:val="24"/>
        </w:rPr>
      </w:pPr>
      <w:r>
        <w:rPr>
          <w:rFonts w:ascii="Times New Roman" w:hAnsi="Times New Roman" w:cs="Times New Roman"/>
          <w:i/>
          <w:sz w:val="24"/>
          <w:szCs w:val="24"/>
        </w:rPr>
        <w:t>This has reference to Statements 14, 15 and 16 of the Finance Accounts.</w:t>
      </w:r>
    </w:p>
    <w:p w14:paraId="6B629454" w14:textId="77777777" w:rsidR="00E92636" w:rsidRPr="00EF153E" w:rsidRDefault="00EA7270" w:rsidP="00FC1E42">
      <w:pPr>
        <w:pStyle w:val="ListParagraph"/>
        <w:widowControl w:val="0"/>
        <w:numPr>
          <w:ilvl w:val="0"/>
          <w:numId w:val="20"/>
        </w:numPr>
        <w:autoSpaceDE w:val="0"/>
        <w:autoSpaceDN w:val="0"/>
        <w:adjustRightInd w:val="0"/>
        <w:spacing w:before="240" w:after="240" w:line="288" w:lineRule="auto"/>
        <w:ind w:left="1077"/>
        <w:contextualSpacing w:val="0"/>
        <w:jc w:val="both"/>
        <w:rPr>
          <w:rFonts w:ascii="Times New Roman" w:hAnsi="Times New Roman" w:cs="Times New Roman"/>
          <w:sz w:val="24"/>
          <w:szCs w:val="24"/>
        </w:rPr>
      </w:pPr>
      <w:r w:rsidRPr="00EF153E">
        <w:rPr>
          <w:rFonts w:ascii="Times New Roman" w:hAnsi="Times New Roman" w:cs="Times New Roman"/>
          <w:b/>
          <w:sz w:val="24"/>
          <w:szCs w:val="24"/>
        </w:rPr>
        <w:lastRenderedPageBreak/>
        <w:t>Transfer</w:t>
      </w:r>
      <w:r w:rsidRPr="00EF153E">
        <w:rPr>
          <w:rFonts w:ascii="Times New Roman" w:hAnsi="Times New Roman" w:cs="Times New Roman"/>
          <w:b/>
          <w:bCs/>
          <w:sz w:val="24"/>
          <w:szCs w:val="24"/>
        </w:rPr>
        <w:t xml:space="preserve"> of funds to </w:t>
      </w:r>
      <w:hyperlink r:id="rId13" w:history="1">
        <w:r w:rsidR="00662A7E" w:rsidRPr="00EF153E">
          <w:rPr>
            <w:rStyle w:val="Hyperlink"/>
            <w:rFonts w:ascii="Times New Roman" w:hAnsi="Times New Roman" w:cs="Times New Roman"/>
            <w:b/>
            <w:bCs/>
            <w:color w:val="auto"/>
            <w:sz w:val="24"/>
            <w:szCs w:val="24"/>
            <w:u w:val="none"/>
          </w:rPr>
          <w:t>Personal Deposit (PD) Accounts</w:t>
        </w:r>
      </w:hyperlink>
      <w:r w:rsidRPr="00EF153E">
        <w:rPr>
          <w:rFonts w:ascii="Times New Roman" w:hAnsi="Times New Roman" w:cs="Times New Roman"/>
          <w:b/>
          <w:bCs/>
          <w:sz w:val="24"/>
          <w:szCs w:val="24"/>
        </w:rPr>
        <w:t>:</w:t>
      </w:r>
    </w:p>
    <w:p w14:paraId="3FE14583" w14:textId="77777777" w:rsidR="00811828" w:rsidRPr="00EF153E" w:rsidRDefault="007178F0" w:rsidP="00B90901">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The </w:t>
      </w:r>
      <w:r w:rsidR="00EA7270" w:rsidRPr="00EF153E">
        <w:rPr>
          <w:rFonts w:ascii="Times New Roman" w:hAnsi="Times New Roman" w:cs="Times New Roman"/>
          <w:sz w:val="24"/>
          <w:szCs w:val="24"/>
        </w:rPr>
        <w:t>PD accounts enable designated Drawing Officers to incur expenditure for specific purposes pertaining to a scheme</w:t>
      </w:r>
      <w:r w:rsidR="006C2D40" w:rsidRPr="00EF153E">
        <w:rPr>
          <w:rFonts w:ascii="Times New Roman" w:hAnsi="Times New Roman" w:cs="Times New Roman"/>
          <w:sz w:val="24"/>
          <w:szCs w:val="24"/>
        </w:rPr>
        <w:t>.</w:t>
      </w:r>
    </w:p>
    <w:p w14:paraId="30FEDB3D" w14:textId="5080224E" w:rsidR="00DB634F" w:rsidRDefault="00EA7270" w:rsidP="00B90901">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During </w:t>
      </w:r>
      <w:r w:rsidR="00455937" w:rsidRPr="00EF153E">
        <w:rPr>
          <w:rFonts w:ascii="Times New Roman" w:hAnsi="Times New Roman" w:cs="Times New Roman"/>
          <w:sz w:val="24"/>
          <w:szCs w:val="24"/>
        </w:rPr>
        <w:t>202</w:t>
      </w:r>
      <w:r w:rsidR="009C2547">
        <w:rPr>
          <w:rFonts w:ascii="Times New Roman" w:hAnsi="Times New Roman" w:cs="Times New Roman"/>
          <w:sz w:val="24"/>
          <w:szCs w:val="24"/>
        </w:rPr>
        <w:t>2</w:t>
      </w:r>
      <w:r w:rsidR="00455937" w:rsidRPr="00EF153E">
        <w:rPr>
          <w:rFonts w:ascii="Times New Roman" w:hAnsi="Times New Roman" w:cs="Times New Roman"/>
          <w:sz w:val="24"/>
          <w:szCs w:val="24"/>
        </w:rPr>
        <w:t>-2</w:t>
      </w:r>
      <w:r w:rsidR="009C2547">
        <w:rPr>
          <w:rFonts w:ascii="Times New Roman" w:hAnsi="Times New Roman" w:cs="Times New Roman"/>
          <w:sz w:val="24"/>
          <w:szCs w:val="24"/>
        </w:rPr>
        <w:t>3</w:t>
      </w:r>
      <w:r w:rsidR="0099437C" w:rsidRPr="00EF153E">
        <w:rPr>
          <w:rFonts w:ascii="Times New Roman" w:hAnsi="Times New Roman" w:cs="Times New Roman"/>
          <w:sz w:val="24"/>
          <w:szCs w:val="24"/>
        </w:rPr>
        <w:t>,</w:t>
      </w:r>
      <w:r w:rsidRPr="00EF153E">
        <w:rPr>
          <w:rFonts w:ascii="Times New Roman" w:hAnsi="Times New Roman" w:cs="Times New Roman"/>
          <w:sz w:val="24"/>
          <w:szCs w:val="24"/>
        </w:rPr>
        <w:t xml:space="preserve"> an amount of</w:t>
      </w:r>
      <w:r w:rsidR="00455937" w:rsidRPr="00EF153E">
        <w:rPr>
          <w:rFonts w:ascii="Times New Roman" w:hAnsi="Times New Roman" w:cs="Times New Roman"/>
          <w:sz w:val="24"/>
          <w:szCs w:val="24"/>
        </w:rPr>
        <w:t xml:space="preserve"> </w:t>
      </w:r>
      <w:hyperlink r:id="rId14" w:history="1">
        <w:r w:rsidR="00EF153E" w:rsidRPr="00D25AC1">
          <w:rPr>
            <w:rStyle w:val="Hyperlink"/>
            <w:rFonts w:ascii="Times New Roman" w:hAnsi="Times New Roman" w:cs="Times New Roman"/>
            <w:color w:val="auto"/>
            <w:sz w:val="26"/>
            <w:szCs w:val="24"/>
            <w:u w:val="none"/>
          </w:rPr>
          <w:t>₹</w:t>
        </w:r>
      </w:hyperlink>
      <w:r w:rsidR="00C64087" w:rsidRPr="00D25AC1">
        <w:rPr>
          <w:rFonts w:ascii="Times New Roman" w:hAnsi="Times New Roman" w:cs="Times New Roman"/>
          <w:sz w:val="24"/>
          <w:szCs w:val="24"/>
        </w:rPr>
        <w:t>0.01</w:t>
      </w:r>
      <w:r w:rsidRPr="00EF153E">
        <w:rPr>
          <w:rFonts w:ascii="Times New Roman" w:hAnsi="Times New Roman" w:cs="Times New Roman"/>
          <w:sz w:val="24"/>
          <w:szCs w:val="24"/>
        </w:rPr>
        <w:t xml:space="preserve"> crore was transferred to these PD Accounts. </w:t>
      </w:r>
      <w:r w:rsidR="007D1322">
        <w:rPr>
          <w:rFonts w:ascii="Times New Roman" w:hAnsi="Times New Roman" w:cs="Times New Roman"/>
          <w:sz w:val="24"/>
          <w:szCs w:val="24"/>
        </w:rPr>
        <w:t>This includ</w:t>
      </w:r>
      <w:r w:rsidR="000940D5">
        <w:rPr>
          <w:rFonts w:ascii="Times New Roman" w:hAnsi="Times New Roman" w:cs="Times New Roman"/>
          <w:sz w:val="24"/>
          <w:szCs w:val="24"/>
        </w:rPr>
        <w:t>e</w:t>
      </w:r>
      <w:r w:rsidR="007D1322">
        <w:rPr>
          <w:rFonts w:ascii="Times New Roman" w:hAnsi="Times New Roman" w:cs="Times New Roman"/>
          <w:sz w:val="24"/>
          <w:szCs w:val="24"/>
        </w:rPr>
        <w:t>s</w:t>
      </w:r>
      <w:r w:rsidR="000940D5">
        <w:rPr>
          <w:rFonts w:ascii="Times New Roman" w:hAnsi="Times New Roman" w:cs="Times New Roman"/>
          <w:sz w:val="24"/>
          <w:szCs w:val="24"/>
        </w:rPr>
        <w:t xml:space="preserve"> negligible amount of ₹4</w:t>
      </w:r>
      <w:r w:rsidR="00CC745D">
        <w:rPr>
          <w:rFonts w:ascii="Times New Roman" w:hAnsi="Times New Roman" w:cs="Times New Roman"/>
          <w:sz w:val="24"/>
          <w:szCs w:val="24"/>
        </w:rPr>
        <w:t>6</w:t>
      </w:r>
      <w:r w:rsidR="000940D5">
        <w:rPr>
          <w:rFonts w:ascii="Times New Roman" w:hAnsi="Times New Roman" w:cs="Times New Roman"/>
          <w:sz w:val="24"/>
          <w:szCs w:val="24"/>
        </w:rPr>
        <w:t xml:space="preserve">4 </w:t>
      </w:r>
      <w:r w:rsidRPr="00EF153E">
        <w:rPr>
          <w:rFonts w:ascii="Times New Roman" w:hAnsi="Times New Roman" w:cs="Times New Roman"/>
          <w:sz w:val="24"/>
          <w:szCs w:val="24"/>
        </w:rPr>
        <w:t xml:space="preserve">transferred in March </w:t>
      </w:r>
      <w:r w:rsidR="00455937" w:rsidRPr="00EF153E">
        <w:rPr>
          <w:rFonts w:ascii="Times New Roman" w:hAnsi="Times New Roman" w:cs="Times New Roman"/>
          <w:sz w:val="24"/>
          <w:szCs w:val="24"/>
        </w:rPr>
        <w:t>202</w:t>
      </w:r>
      <w:r w:rsidR="009C2547">
        <w:rPr>
          <w:rFonts w:ascii="Times New Roman" w:hAnsi="Times New Roman" w:cs="Times New Roman"/>
          <w:sz w:val="24"/>
          <w:szCs w:val="24"/>
        </w:rPr>
        <w:t>3</w:t>
      </w:r>
      <w:r w:rsidRPr="00EF153E">
        <w:rPr>
          <w:rFonts w:ascii="Times New Roman" w:hAnsi="Times New Roman" w:cs="Times New Roman"/>
          <w:sz w:val="24"/>
          <w:szCs w:val="24"/>
        </w:rPr>
        <w:t xml:space="preserve">, </w:t>
      </w:r>
      <w:r w:rsidR="005C7C21">
        <w:rPr>
          <w:rFonts w:ascii="Times New Roman" w:hAnsi="Times New Roman" w:cs="Times New Roman"/>
          <w:sz w:val="24"/>
          <w:szCs w:val="24"/>
        </w:rPr>
        <w:t xml:space="preserve">while </w:t>
      </w:r>
      <w:r w:rsidR="00DB634F">
        <w:rPr>
          <w:rFonts w:ascii="Times New Roman" w:hAnsi="Times New Roman" w:cs="Times New Roman"/>
          <w:sz w:val="24"/>
          <w:szCs w:val="24"/>
        </w:rPr>
        <w:t>no amount was transferred on the last working day of March 2023.</w:t>
      </w:r>
    </w:p>
    <w:p w14:paraId="1A518C2F" w14:textId="3EB4A35B" w:rsidR="001433DB" w:rsidRPr="005C6138" w:rsidRDefault="00513E04" w:rsidP="00B90901">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bCs/>
          <w:sz w:val="24"/>
          <w:szCs w:val="24"/>
        </w:rPr>
        <w:t xml:space="preserve">The </w:t>
      </w:r>
      <w:r w:rsidR="00493238" w:rsidRPr="00EF153E">
        <w:rPr>
          <w:rFonts w:ascii="Times New Roman" w:hAnsi="Times New Roman" w:cs="Times New Roman"/>
          <w:bCs/>
          <w:sz w:val="24"/>
          <w:szCs w:val="24"/>
        </w:rPr>
        <w:t>Administrator</w:t>
      </w:r>
      <w:r w:rsidR="006C2D40" w:rsidRPr="00EF153E">
        <w:rPr>
          <w:rFonts w:ascii="Times New Roman" w:hAnsi="Times New Roman" w:cs="Times New Roman"/>
          <w:bCs/>
          <w:sz w:val="24"/>
          <w:szCs w:val="24"/>
        </w:rPr>
        <w:t>s</w:t>
      </w:r>
      <w:r w:rsidR="00493238" w:rsidRPr="00EF153E">
        <w:rPr>
          <w:rFonts w:ascii="Times New Roman" w:hAnsi="Times New Roman" w:cs="Times New Roman"/>
          <w:bCs/>
          <w:sz w:val="24"/>
          <w:szCs w:val="24"/>
        </w:rPr>
        <w:t xml:space="preserve"> of Personal Deposit Account had</w:t>
      </w:r>
      <w:r w:rsidRPr="00EF153E">
        <w:rPr>
          <w:rFonts w:ascii="Times New Roman" w:hAnsi="Times New Roman" w:cs="Times New Roman"/>
          <w:bCs/>
          <w:sz w:val="24"/>
          <w:szCs w:val="24"/>
        </w:rPr>
        <w:t xml:space="preserve"> not</w:t>
      </w:r>
      <w:r w:rsidR="00493238" w:rsidRPr="00EF153E">
        <w:rPr>
          <w:rFonts w:ascii="Times New Roman" w:hAnsi="Times New Roman" w:cs="Times New Roman"/>
          <w:bCs/>
          <w:sz w:val="24"/>
          <w:szCs w:val="24"/>
        </w:rPr>
        <w:t xml:space="preserve"> reconciled and verified their balances with the treasury figures and annual verification certificates </w:t>
      </w:r>
      <w:r w:rsidR="003207D5" w:rsidRPr="00EF153E">
        <w:rPr>
          <w:rFonts w:ascii="Times New Roman" w:hAnsi="Times New Roman" w:cs="Times New Roman"/>
          <w:bCs/>
          <w:sz w:val="24"/>
          <w:szCs w:val="24"/>
        </w:rPr>
        <w:t>w</w:t>
      </w:r>
      <w:r w:rsidR="003207D5">
        <w:rPr>
          <w:rFonts w:ascii="Times New Roman" w:hAnsi="Times New Roman" w:cs="Times New Roman"/>
          <w:bCs/>
          <w:sz w:val="24"/>
          <w:szCs w:val="24"/>
        </w:rPr>
        <w:t>ere</w:t>
      </w:r>
      <w:r w:rsidR="003207D5" w:rsidRPr="00EF153E">
        <w:rPr>
          <w:rFonts w:ascii="Times New Roman" w:hAnsi="Times New Roman" w:cs="Times New Roman"/>
          <w:bCs/>
          <w:sz w:val="24"/>
          <w:szCs w:val="24"/>
        </w:rPr>
        <w:t xml:space="preserve"> </w:t>
      </w:r>
      <w:r w:rsidRPr="00EF153E">
        <w:rPr>
          <w:rFonts w:ascii="Times New Roman" w:hAnsi="Times New Roman" w:cs="Times New Roman"/>
          <w:bCs/>
          <w:sz w:val="24"/>
          <w:szCs w:val="24"/>
        </w:rPr>
        <w:t>also not</w:t>
      </w:r>
      <w:r w:rsidR="00493238" w:rsidRPr="00EF153E">
        <w:rPr>
          <w:rFonts w:ascii="Times New Roman" w:hAnsi="Times New Roman" w:cs="Times New Roman"/>
          <w:bCs/>
          <w:sz w:val="24"/>
          <w:szCs w:val="24"/>
        </w:rPr>
        <w:t xml:space="preserve"> furnished by them to the Treasury </w:t>
      </w:r>
      <w:r w:rsidR="00143B3F">
        <w:rPr>
          <w:rFonts w:ascii="Times New Roman" w:hAnsi="Times New Roman" w:cs="Times New Roman"/>
          <w:bCs/>
          <w:sz w:val="24"/>
          <w:szCs w:val="24"/>
        </w:rPr>
        <w:t>O</w:t>
      </w:r>
      <w:r w:rsidR="00493238" w:rsidRPr="00EF153E">
        <w:rPr>
          <w:rFonts w:ascii="Times New Roman" w:hAnsi="Times New Roman" w:cs="Times New Roman"/>
          <w:bCs/>
          <w:sz w:val="24"/>
          <w:szCs w:val="24"/>
        </w:rPr>
        <w:t>fficer for onward submission to Accountant General office</w:t>
      </w:r>
      <w:r w:rsidRPr="00EF153E">
        <w:rPr>
          <w:rFonts w:ascii="Times New Roman" w:hAnsi="Times New Roman" w:cs="Times New Roman"/>
          <w:bCs/>
          <w:sz w:val="24"/>
          <w:szCs w:val="24"/>
        </w:rPr>
        <w:t xml:space="preserve">. </w:t>
      </w:r>
      <w:r w:rsidR="00493238" w:rsidRPr="00EF153E">
        <w:rPr>
          <w:rFonts w:ascii="Times New Roman" w:hAnsi="Times New Roman" w:cs="Times New Roman"/>
          <w:bCs/>
          <w:sz w:val="24"/>
          <w:szCs w:val="24"/>
        </w:rPr>
        <w:t xml:space="preserve"> </w:t>
      </w:r>
    </w:p>
    <w:p w14:paraId="64BF17CF" w14:textId="457BA7BD" w:rsidR="003B3487" w:rsidRPr="000E5CAC" w:rsidRDefault="00E56D87" w:rsidP="00121047">
      <w:pPr>
        <w:widowControl w:val="0"/>
        <w:autoSpaceDE w:val="0"/>
        <w:autoSpaceDN w:val="0"/>
        <w:adjustRightInd w:val="0"/>
        <w:spacing w:before="240" w:after="0" w:line="240" w:lineRule="auto"/>
        <w:contextualSpacing/>
        <w:jc w:val="center"/>
        <w:rPr>
          <w:rFonts w:ascii="Times New Roman" w:hAnsi="Times New Roman" w:cs="Times New Roman"/>
          <w:b/>
          <w:sz w:val="24"/>
          <w:szCs w:val="24"/>
        </w:rPr>
      </w:pPr>
      <w:r w:rsidRPr="000E5CAC">
        <w:rPr>
          <w:rFonts w:ascii="Times New Roman" w:hAnsi="Times New Roman" w:cs="Times New Roman"/>
          <w:b/>
          <w:sz w:val="24"/>
          <w:szCs w:val="24"/>
        </w:rPr>
        <w:t>Table 1:</w:t>
      </w:r>
      <w:r w:rsidRPr="000E5CAC">
        <w:rPr>
          <w:b/>
        </w:rPr>
        <w:t xml:space="preserve"> </w:t>
      </w:r>
      <w:hyperlink r:id="rId15" w:history="1">
        <w:r w:rsidR="00662A7E" w:rsidRPr="000E5CAC">
          <w:rPr>
            <w:rStyle w:val="Hyperlink"/>
            <w:rFonts w:ascii="Times New Roman" w:hAnsi="Times New Roman" w:cs="Times New Roman"/>
            <w:b/>
            <w:color w:val="auto"/>
            <w:sz w:val="24"/>
            <w:szCs w:val="24"/>
            <w:u w:val="none"/>
          </w:rPr>
          <w:t xml:space="preserve">Details of </w:t>
        </w:r>
        <w:r w:rsidR="007178F0" w:rsidRPr="000E5CAC">
          <w:rPr>
            <w:rStyle w:val="Hyperlink"/>
            <w:rFonts w:ascii="Times New Roman" w:hAnsi="Times New Roman" w:cs="Times New Roman"/>
            <w:b/>
            <w:color w:val="auto"/>
            <w:sz w:val="24"/>
            <w:szCs w:val="24"/>
            <w:u w:val="none"/>
          </w:rPr>
          <w:t xml:space="preserve">the </w:t>
        </w:r>
        <w:r w:rsidR="00662A7E" w:rsidRPr="000E5CAC">
          <w:rPr>
            <w:rStyle w:val="Hyperlink"/>
            <w:rFonts w:ascii="Times New Roman" w:hAnsi="Times New Roman" w:cs="Times New Roman"/>
            <w:b/>
            <w:color w:val="auto"/>
            <w:sz w:val="24"/>
            <w:szCs w:val="24"/>
            <w:u w:val="none"/>
          </w:rPr>
          <w:t>PD</w:t>
        </w:r>
      </w:hyperlink>
      <w:r w:rsidR="00EA7270" w:rsidRPr="000E5CAC">
        <w:rPr>
          <w:rFonts w:ascii="Times New Roman" w:hAnsi="Times New Roman" w:cs="Times New Roman"/>
          <w:b/>
          <w:sz w:val="24"/>
          <w:szCs w:val="24"/>
        </w:rPr>
        <w:t xml:space="preserve"> accounts as on </w:t>
      </w:r>
      <w:r w:rsidR="00AC7651" w:rsidRPr="000E5CAC">
        <w:rPr>
          <w:rFonts w:ascii="Times New Roman" w:hAnsi="Times New Roman" w:cs="Times New Roman"/>
          <w:b/>
          <w:sz w:val="24"/>
          <w:szCs w:val="24"/>
        </w:rPr>
        <w:t>31 March 202</w:t>
      </w:r>
      <w:r w:rsidR="00567323">
        <w:rPr>
          <w:rFonts w:ascii="Times New Roman" w:hAnsi="Times New Roman" w:cs="Times New Roman"/>
          <w:b/>
          <w:sz w:val="24"/>
          <w:szCs w:val="24"/>
        </w:rPr>
        <w:t>3</w:t>
      </w:r>
    </w:p>
    <w:p w14:paraId="1201517E" w14:textId="77777777" w:rsidR="00811828" w:rsidRPr="003B5491" w:rsidRDefault="00EA7270" w:rsidP="00B90901">
      <w:pPr>
        <w:spacing w:before="120" w:after="60" w:line="240" w:lineRule="auto"/>
        <w:jc w:val="right"/>
        <w:outlineLvl w:val="0"/>
        <w:rPr>
          <w:rFonts w:ascii="Times New Roman" w:hAnsi="Times New Roman" w:cs="Times New Roman"/>
          <w:b/>
          <w:sz w:val="24"/>
          <w:szCs w:val="24"/>
        </w:rPr>
      </w:pPr>
      <w:r w:rsidRPr="003B5491">
        <w:rPr>
          <w:rFonts w:ascii="Times New Roman" w:hAnsi="Times New Roman" w:cs="Times New Roman"/>
          <w:b/>
          <w:sz w:val="24"/>
          <w:szCs w:val="24"/>
        </w:rPr>
        <w:t>(</w:t>
      </w:r>
      <w:r w:rsidR="00913B96" w:rsidRPr="003B5491">
        <w:rPr>
          <w:rFonts w:ascii="Times New Roman" w:hAnsi="Times New Roman" w:cs="Times New Roman"/>
          <w:b/>
          <w:sz w:val="24"/>
          <w:szCs w:val="24"/>
        </w:rPr>
        <w:t>₹</w:t>
      </w:r>
      <w:r w:rsidR="009D29FC">
        <w:rPr>
          <w:rFonts w:ascii="Times New Roman" w:hAnsi="Times New Roman" w:cs="Times New Roman"/>
          <w:b/>
          <w:sz w:val="24"/>
          <w:szCs w:val="24"/>
        </w:rPr>
        <w:t xml:space="preserve"> </w:t>
      </w:r>
      <w:r w:rsidRPr="003B5491">
        <w:rPr>
          <w:rFonts w:ascii="Times New Roman" w:hAnsi="Times New Roman" w:cs="Times New Roman"/>
          <w:b/>
          <w:sz w:val="24"/>
          <w:szCs w:val="24"/>
        </w:rPr>
        <w:t>in crore)</w:t>
      </w:r>
    </w:p>
    <w:tbl>
      <w:tblPr>
        <w:tblW w:w="88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810"/>
        <w:gridCol w:w="1350"/>
        <w:gridCol w:w="810"/>
        <w:gridCol w:w="1440"/>
        <w:gridCol w:w="900"/>
        <w:gridCol w:w="1412"/>
        <w:gridCol w:w="838"/>
      </w:tblGrid>
      <w:tr w:rsidR="00811828" w:rsidRPr="00EF153E" w14:paraId="70F1D5FA" w14:textId="77777777" w:rsidTr="00812893">
        <w:trPr>
          <w:trHeight w:val="775"/>
          <w:jc w:val="center"/>
        </w:trPr>
        <w:tc>
          <w:tcPr>
            <w:tcW w:w="2123" w:type="dxa"/>
            <w:gridSpan w:val="2"/>
            <w:shd w:val="clear" w:color="auto" w:fill="D9D9D9"/>
            <w:vAlign w:val="center"/>
          </w:tcPr>
          <w:p w14:paraId="57A01AD3" w14:textId="016D0CAD" w:rsidR="00811828" w:rsidRPr="00EF153E" w:rsidRDefault="00EA7270" w:rsidP="00121047">
            <w:pPr>
              <w:spacing w:before="160" w:line="288" w:lineRule="auto"/>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Opening Ba</w:t>
            </w:r>
            <w:r w:rsidR="004D33C7" w:rsidRPr="00EF153E">
              <w:rPr>
                <w:rFonts w:ascii="Times New Roman" w:hAnsi="Times New Roman" w:cs="Times New Roman"/>
                <w:b/>
                <w:sz w:val="18"/>
                <w:szCs w:val="18"/>
                <w:lang w:eastAsia="en-IN"/>
              </w:rPr>
              <w:t>lance</w:t>
            </w:r>
            <w:r w:rsidR="00CD6277">
              <w:rPr>
                <w:rFonts w:ascii="Times New Roman" w:hAnsi="Times New Roman" w:cs="Times New Roman"/>
                <w:b/>
                <w:sz w:val="18"/>
                <w:szCs w:val="18"/>
                <w:lang w:eastAsia="en-IN"/>
              </w:rPr>
              <w:br/>
            </w:r>
            <w:r w:rsidR="004D33C7" w:rsidRPr="00EF153E">
              <w:rPr>
                <w:rFonts w:ascii="Times New Roman" w:hAnsi="Times New Roman" w:cs="Times New Roman"/>
                <w:b/>
                <w:sz w:val="18"/>
                <w:szCs w:val="18"/>
                <w:lang w:eastAsia="en-IN"/>
              </w:rPr>
              <w:t xml:space="preserve"> as on April 202</w:t>
            </w:r>
            <w:r w:rsidR="00BA48DC">
              <w:rPr>
                <w:rFonts w:ascii="Times New Roman" w:hAnsi="Times New Roman" w:cs="Times New Roman"/>
                <w:b/>
                <w:sz w:val="18"/>
                <w:szCs w:val="18"/>
                <w:lang w:eastAsia="en-IN"/>
              </w:rPr>
              <w:t>2</w:t>
            </w:r>
          </w:p>
        </w:tc>
        <w:tc>
          <w:tcPr>
            <w:tcW w:w="2160" w:type="dxa"/>
            <w:gridSpan w:val="2"/>
            <w:shd w:val="clear" w:color="auto" w:fill="D9D9D9"/>
            <w:vAlign w:val="center"/>
          </w:tcPr>
          <w:p w14:paraId="3431F881" w14:textId="78EEEFA9" w:rsidR="00811828" w:rsidRPr="00EF153E" w:rsidRDefault="00EA7270" w:rsidP="00121047">
            <w:pPr>
              <w:spacing w:before="160" w:line="288" w:lineRule="auto"/>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 xml:space="preserve">Addition during </w:t>
            </w:r>
            <w:r w:rsidR="00CD6277">
              <w:rPr>
                <w:rFonts w:ascii="Times New Roman" w:hAnsi="Times New Roman" w:cs="Times New Roman"/>
                <w:b/>
                <w:sz w:val="18"/>
                <w:szCs w:val="18"/>
                <w:lang w:eastAsia="en-IN"/>
              </w:rPr>
              <w:br/>
            </w:r>
            <w:r w:rsidRPr="00EF153E">
              <w:rPr>
                <w:rFonts w:ascii="Times New Roman" w:hAnsi="Times New Roman" w:cs="Times New Roman"/>
                <w:b/>
                <w:sz w:val="18"/>
                <w:szCs w:val="18"/>
                <w:lang w:eastAsia="en-IN"/>
              </w:rPr>
              <w:t xml:space="preserve">the year </w:t>
            </w:r>
            <w:r w:rsidR="004D33C7" w:rsidRPr="00EF153E">
              <w:rPr>
                <w:rFonts w:ascii="Times New Roman" w:hAnsi="Times New Roman" w:cs="Times New Roman"/>
                <w:b/>
                <w:sz w:val="18"/>
                <w:szCs w:val="18"/>
                <w:lang w:eastAsia="en-IN"/>
              </w:rPr>
              <w:t>202</w:t>
            </w:r>
            <w:r w:rsidR="00BA48DC">
              <w:rPr>
                <w:rFonts w:ascii="Times New Roman" w:hAnsi="Times New Roman" w:cs="Times New Roman"/>
                <w:b/>
                <w:sz w:val="18"/>
                <w:szCs w:val="18"/>
                <w:lang w:eastAsia="en-IN"/>
              </w:rPr>
              <w:t>2</w:t>
            </w:r>
            <w:r w:rsidR="004D33C7" w:rsidRPr="00EF153E">
              <w:rPr>
                <w:rFonts w:ascii="Times New Roman" w:hAnsi="Times New Roman" w:cs="Times New Roman"/>
                <w:b/>
                <w:sz w:val="18"/>
                <w:szCs w:val="18"/>
                <w:lang w:eastAsia="en-IN"/>
              </w:rPr>
              <w:t>-2</w:t>
            </w:r>
            <w:r w:rsidR="00BA48DC">
              <w:rPr>
                <w:rFonts w:ascii="Times New Roman" w:hAnsi="Times New Roman" w:cs="Times New Roman"/>
                <w:b/>
                <w:sz w:val="18"/>
                <w:szCs w:val="18"/>
                <w:lang w:eastAsia="en-IN"/>
              </w:rPr>
              <w:t>3</w:t>
            </w:r>
          </w:p>
        </w:tc>
        <w:tc>
          <w:tcPr>
            <w:tcW w:w="2340" w:type="dxa"/>
            <w:gridSpan w:val="2"/>
            <w:shd w:val="clear" w:color="auto" w:fill="D9D9D9"/>
            <w:vAlign w:val="center"/>
          </w:tcPr>
          <w:p w14:paraId="7C173D42" w14:textId="6CAB0BC2" w:rsidR="00811828" w:rsidRPr="00EF153E" w:rsidRDefault="00EA7270" w:rsidP="00121047">
            <w:pPr>
              <w:spacing w:before="160" w:line="288" w:lineRule="auto"/>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 xml:space="preserve">Closed/Withdrawal </w:t>
            </w:r>
            <w:r w:rsidR="00CD6277">
              <w:rPr>
                <w:rFonts w:ascii="Times New Roman" w:hAnsi="Times New Roman" w:cs="Times New Roman"/>
                <w:b/>
                <w:sz w:val="18"/>
                <w:szCs w:val="18"/>
                <w:lang w:eastAsia="en-IN"/>
              </w:rPr>
              <w:br/>
            </w:r>
            <w:r w:rsidRPr="00EF153E">
              <w:rPr>
                <w:rFonts w:ascii="Times New Roman" w:hAnsi="Times New Roman" w:cs="Times New Roman"/>
                <w:b/>
                <w:sz w:val="18"/>
                <w:szCs w:val="18"/>
                <w:lang w:eastAsia="en-IN"/>
              </w:rPr>
              <w:t xml:space="preserve">during the </w:t>
            </w:r>
            <w:r w:rsidR="00CD6277">
              <w:rPr>
                <w:rFonts w:ascii="Times New Roman" w:hAnsi="Times New Roman" w:cs="Times New Roman"/>
                <w:b/>
                <w:sz w:val="18"/>
                <w:szCs w:val="18"/>
                <w:lang w:eastAsia="en-IN"/>
              </w:rPr>
              <w:br/>
            </w:r>
            <w:r w:rsidRPr="00EF153E">
              <w:rPr>
                <w:rFonts w:ascii="Times New Roman" w:hAnsi="Times New Roman" w:cs="Times New Roman"/>
                <w:b/>
                <w:sz w:val="18"/>
                <w:szCs w:val="18"/>
                <w:lang w:eastAsia="en-IN"/>
              </w:rPr>
              <w:t xml:space="preserve">year </w:t>
            </w:r>
            <w:r w:rsidR="004D33C7" w:rsidRPr="00EF153E">
              <w:rPr>
                <w:rFonts w:ascii="Times New Roman" w:hAnsi="Times New Roman" w:cs="Times New Roman"/>
                <w:b/>
                <w:sz w:val="18"/>
                <w:szCs w:val="18"/>
                <w:lang w:eastAsia="en-IN"/>
              </w:rPr>
              <w:t>202</w:t>
            </w:r>
            <w:r w:rsidR="00BA48DC">
              <w:rPr>
                <w:rFonts w:ascii="Times New Roman" w:hAnsi="Times New Roman" w:cs="Times New Roman"/>
                <w:b/>
                <w:sz w:val="18"/>
                <w:szCs w:val="18"/>
                <w:lang w:eastAsia="en-IN"/>
              </w:rPr>
              <w:t>2</w:t>
            </w:r>
            <w:r w:rsidR="004D33C7" w:rsidRPr="00EF153E">
              <w:rPr>
                <w:rFonts w:ascii="Times New Roman" w:hAnsi="Times New Roman" w:cs="Times New Roman"/>
                <w:b/>
                <w:sz w:val="18"/>
                <w:szCs w:val="18"/>
                <w:lang w:eastAsia="en-IN"/>
              </w:rPr>
              <w:t>-2</w:t>
            </w:r>
            <w:r w:rsidR="00BA48DC">
              <w:rPr>
                <w:rFonts w:ascii="Times New Roman" w:hAnsi="Times New Roman" w:cs="Times New Roman"/>
                <w:b/>
                <w:sz w:val="18"/>
                <w:szCs w:val="18"/>
                <w:lang w:eastAsia="en-IN"/>
              </w:rPr>
              <w:t>3</w:t>
            </w:r>
          </w:p>
        </w:tc>
        <w:tc>
          <w:tcPr>
            <w:tcW w:w="2250" w:type="dxa"/>
            <w:gridSpan w:val="2"/>
            <w:shd w:val="clear" w:color="auto" w:fill="D9D9D9"/>
            <w:vAlign w:val="center"/>
          </w:tcPr>
          <w:p w14:paraId="2296095C" w14:textId="4F8BFA13" w:rsidR="00811828" w:rsidRPr="00EF153E" w:rsidRDefault="00EA7270" w:rsidP="00121047">
            <w:pPr>
              <w:spacing w:before="160" w:line="288" w:lineRule="auto"/>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 xml:space="preserve">Closing Balance </w:t>
            </w:r>
            <w:r w:rsidR="00CD6277">
              <w:rPr>
                <w:rFonts w:ascii="Times New Roman" w:hAnsi="Times New Roman" w:cs="Times New Roman"/>
                <w:b/>
                <w:sz w:val="18"/>
                <w:szCs w:val="18"/>
                <w:lang w:eastAsia="en-IN"/>
              </w:rPr>
              <w:br/>
            </w:r>
            <w:r w:rsidRPr="00EF153E">
              <w:rPr>
                <w:rFonts w:ascii="Times New Roman" w:hAnsi="Times New Roman" w:cs="Times New Roman"/>
                <w:b/>
                <w:sz w:val="18"/>
                <w:szCs w:val="18"/>
                <w:lang w:eastAsia="en-IN"/>
              </w:rPr>
              <w:t>as on 31</w:t>
            </w:r>
            <w:r w:rsidR="00EE3BD0">
              <w:rPr>
                <w:rFonts w:ascii="Times New Roman" w:hAnsi="Times New Roman" w:cs="Times New Roman"/>
                <w:b/>
                <w:sz w:val="18"/>
                <w:szCs w:val="18"/>
                <w:lang w:eastAsia="en-IN"/>
              </w:rPr>
              <w:t> </w:t>
            </w:r>
            <w:r w:rsidRPr="00EF153E">
              <w:rPr>
                <w:rFonts w:ascii="Times New Roman" w:hAnsi="Times New Roman" w:cs="Times New Roman"/>
                <w:b/>
                <w:sz w:val="18"/>
                <w:szCs w:val="18"/>
                <w:lang w:eastAsia="en-IN"/>
              </w:rPr>
              <w:t xml:space="preserve">March </w:t>
            </w:r>
            <w:r w:rsidR="004D33C7" w:rsidRPr="00EF153E">
              <w:rPr>
                <w:rFonts w:ascii="Times New Roman" w:hAnsi="Times New Roman" w:cs="Times New Roman"/>
                <w:b/>
                <w:sz w:val="18"/>
                <w:szCs w:val="18"/>
                <w:lang w:eastAsia="en-IN"/>
              </w:rPr>
              <w:t>202</w:t>
            </w:r>
            <w:r w:rsidR="00BA48DC">
              <w:rPr>
                <w:rFonts w:ascii="Times New Roman" w:hAnsi="Times New Roman" w:cs="Times New Roman"/>
                <w:b/>
                <w:sz w:val="18"/>
                <w:szCs w:val="18"/>
                <w:lang w:eastAsia="en-IN"/>
              </w:rPr>
              <w:t>3</w:t>
            </w:r>
          </w:p>
        </w:tc>
      </w:tr>
      <w:tr w:rsidR="00811828" w:rsidRPr="00EF153E" w14:paraId="7D86D29A" w14:textId="77777777" w:rsidTr="00812893">
        <w:trPr>
          <w:trHeight w:val="559"/>
          <w:jc w:val="center"/>
        </w:trPr>
        <w:tc>
          <w:tcPr>
            <w:tcW w:w="1313" w:type="dxa"/>
            <w:shd w:val="clear" w:color="auto" w:fill="auto"/>
            <w:vAlign w:val="center"/>
          </w:tcPr>
          <w:p w14:paraId="08AAC392" w14:textId="77777777" w:rsidR="00811828" w:rsidRPr="00EF153E" w:rsidRDefault="00EA7270" w:rsidP="00121047">
            <w:pPr>
              <w:spacing w:before="160" w:line="288"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Number of Administrators</w:t>
            </w:r>
          </w:p>
        </w:tc>
        <w:tc>
          <w:tcPr>
            <w:tcW w:w="810" w:type="dxa"/>
            <w:shd w:val="clear" w:color="auto" w:fill="auto"/>
            <w:vAlign w:val="center"/>
          </w:tcPr>
          <w:p w14:paraId="1A1D734F" w14:textId="77777777" w:rsidR="00811828" w:rsidRPr="00EF153E" w:rsidRDefault="00EA7270" w:rsidP="00121047">
            <w:pPr>
              <w:spacing w:before="160" w:line="288"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Amount</w:t>
            </w:r>
          </w:p>
        </w:tc>
        <w:tc>
          <w:tcPr>
            <w:tcW w:w="1350" w:type="dxa"/>
            <w:shd w:val="clear" w:color="auto" w:fill="auto"/>
            <w:vAlign w:val="center"/>
          </w:tcPr>
          <w:p w14:paraId="76DD6B2C" w14:textId="77777777" w:rsidR="00811828" w:rsidRPr="00EF153E" w:rsidRDefault="00EA7270" w:rsidP="00121047">
            <w:pPr>
              <w:spacing w:before="160" w:line="288"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Number of Administrators</w:t>
            </w:r>
          </w:p>
        </w:tc>
        <w:tc>
          <w:tcPr>
            <w:tcW w:w="810" w:type="dxa"/>
            <w:shd w:val="clear" w:color="auto" w:fill="auto"/>
            <w:vAlign w:val="center"/>
          </w:tcPr>
          <w:p w14:paraId="27657025" w14:textId="77777777" w:rsidR="00811828" w:rsidRPr="00EF153E" w:rsidRDefault="00EA7270" w:rsidP="00121047">
            <w:pPr>
              <w:spacing w:before="160" w:line="288"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Amount</w:t>
            </w:r>
          </w:p>
        </w:tc>
        <w:tc>
          <w:tcPr>
            <w:tcW w:w="1440" w:type="dxa"/>
            <w:shd w:val="clear" w:color="auto" w:fill="auto"/>
            <w:vAlign w:val="center"/>
          </w:tcPr>
          <w:p w14:paraId="798C0A56" w14:textId="77777777" w:rsidR="00811828" w:rsidRPr="00EF153E" w:rsidRDefault="00EA7270" w:rsidP="00121047">
            <w:pPr>
              <w:spacing w:before="160" w:line="288"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Number of Administrators</w:t>
            </w:r>
          </w:p>
        </w:tc>
        <w:tc>
          <w:tcPr>
            <w:tcW w:w="900" w:type="dxa"/>
            <w:shd w:val="clear" w:color="auto" w:fill="auto"/>
            <w:vAlign w:val="center"/>
          </w:tcPr>
          <w:p w14:paraId="0C758FB7" w14:textId="77777777" w:rsidR="00811828" w:rsidRPr="00EF153E" w:rsidRDefault="00EA7270" w:rsidP="00121047">
            <w:pPr>
              <w:spacing w:before="160" w:line="288"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Amount</w:t>
            </w:r>
          </w:p>
        </w:tc>
        <w:tc>
          <w:tcPr>
            <w:tcW w:w="1412" w:type="dxa"/>
            <w:shd w:val="clear" w:color="auto" w:fill="auto"/>
            <w:vAlign w:val="center"/>
          </w:tcPr>
          <w:p w14:paraId="1517065F" w14:textId="77777777" w:rsidR="00811828" w:rsidRPr="00EF153E" w:rsidRDefault="00EA7270" w:rsidP="00121047">
            <w:pPr>
              <w:spacing w:before="160" w:line="288"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Number of Administrators</w:t>
            </w:r>
          </w:p>
        </w:tc>
        <w:tc>
          <w:tcPr>
            <w:tcW w:w="838" w:type="dxa"/>
            <w:shd w:val="clear" w:color="auto" w:fill="auto"/>
            <w:vAlign w:val="center"/>
          </w:tcPr>
          <w:p w14:paraId="2F5C2867" w14:textId="77777777" w:rsidR="00811828" w:rsidRPr="00EF153E" w:rsidRDefault="00EA7270" w:rsidP="00121047">
            <w:pPr>
              <w:spacing w:before="160" w:line="288"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Amount</w:t>
            </w:r>
          </w:p>
        </w:tc>
      </w:tr>
      <w:tr w:rsidR="00811828" w:rsidRPr="00EF153E" w14:paraId="2C01D234" w14:textId="77777777" w:rsidTr="00812893">
        <w:trPr>
          <w:trHeight w:val="20"/>
          <w:jc w:val="center"/>
        </w:trPr>
        <w:tc>
          <w:tcPr>
            <w:tcW w:w="1313" w:type="dxa"/>
            <w:vAlign w:val="center"/>
          </w:tcPr>
          <w:p w14:paraId="384A6052" w14:textId="77777777" w:rsidR="00811828"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2</w:t>
            </w:r>
          </w:p>
        </w:tc>
        <w:tc>
          <w:tcPr>
            <w:tcW w:w="810" w:type="dxa"/>
            <w:vAlign w:val="center"/>
          </w:tcPr>
          <w:p w14:paraId="185E05BB" w14:textId="77777777" w:rsidR="00811828"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3.25</w:t>
            </w:r>
          </w:p>
        </w:tc>
        <w:tc>
          <w:tcPr>
            <w:tcW w:w="1350" w:type="dxa"/>
            <w:vAlign w:val="center"/>
          </w:tcPr>
          <w:p w14:paraId="6A0E8589" w14:textId="77777777" w:rsidR="00811828" w:rsidRPr="00EF153E" w:rsidRDefault="008D4CB9" w:rsidP="00121047">
            <w:pPr>
              <w:widowControl w:val="0"/>
              <w:autoSpaceDE w:val="0"/>
              <w:autoSpaceDN w:val="0"/>
              <w:spacing w:before="160" w:line="288"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Nil</w:t>
            </w:r>
          </w:p>
        </w:tc>
        <w:tc>
          <w:tcPr>
            <w:tcW w:w="810" w:type="dxa"/>
            <w:vAlign w:val="center"/>
          </w:tcPr>
          <w:p w14:paraId="4A25D839" w14:textId="77777777" w:rsidR="00811828" w:rsidRPr="00EF153E" w:rsidRDefault="008D4CB9" w:rsidP="00121047">
            <w:pPr>
              <w:widowControl w:val="0"/>
              <w:autoSpaceDE w:val="0"/>
              <w:autoSpaceDN w:val="0"/>
              <w:spacing w:before="160" w:line="288"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0.01</w:t>
            </w:r>
          </w:p>
        </w:tc>
        <w:tc>
          <w:tcPr>
            <w:tcW w:w="1440" w:type="dxa"/>
            <w:vAlign w:val="center"/>
          </w:tcPr>
          <w:p w14:paraId="28E4DB6D" w14:textId="77777777" w:rsidR="00811828" w:rsidRPr="00EF153E" w:rsidRDefault="008D4CB9" w:rsidP="00121047">
            <w:pPr>
              <w:widowControl w:val="0"/>
              <w:autoSpaceDE w:val="0"/>
              <w:autoSpaceDN w:val="0"/>
              <w:spacing w:before="160" w:line="288"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Nil</w:t>
            </w:r>
          </w:p>
        </w:tc>
        <w:tc>
          <w:tcPr>
            <w:tcW w:w="900" w:type="dxa"/>
            <w:vAlign w:val="center"/>
          </w:tcPr>
          <w:p w14:paraId="6EC29A78" w14:textId="77777777" w:rsidR="00811828" w:rsidRPr="00EF153E" w:rsidRDefault="008D4CB9" w:rsidP="00121047">
            <w:pPr>
              <w:widowControl w:val="0"/>
              <w:autoSpaceDE w:val="0"/>
              <w:autoSpaceDN w:val="0"/>
              <w:spacing w:before="160" w:line="288"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Nil</w:t>
            </w:r>
          </w:p>
        </w:tc>
        <w:tc>
          <w:tcPr>
            <w:tcW w:w="1412" w:type="dxa"/>
            <w:vAlign w:val="center"/>
          </w:tcPr>
          <w:p w14:paraId="3AACDE70" w14:textId="77777777" w:rsidR="00811828" w:rsidRPr="00EF153E" w:rsidRDefault="00BA48DC" w:rsidP="00121047">
            <w:pPr>
              <w:widowControl w:val="0"/>
              <w:autoSpaceDE w:val="0"/>
              <w:autoSpaceDN w:val="0"/>
              <w:spacing w:before="160" w:line="288"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2</w:t>
            </w:r>
          </w:p>
        </w:tc>
        <w:tc>
          <w:tcPr>
            <w:tcW w:w="838" w:type="dxa"/>
            <w:vAlign w:val="center"/>
          </w:tcPr>
          <w:p w14:paraId="14DE3772" w14:textId="77777777" w:rsidR="00811828" w:rsidRPr="00EF153E" w:rsidRDefault="008D4CB9" w:rsidP="00121047">
            <w:pPr>
              <w:widowControl w:val="0"/>
              <w:autoSpaceDE w:val="0"/>
              <w:autoSpaceDN w:val="0"/>
              <w:spacing w:before="160" w:line="288"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3.26</w:t>
            </w:r>
          </w:p>
        </w:tc>
      </w:tr>
    </w:tbl>
    <w:p w14:paraId="5CE9DACC" w14:textId="33DECE22" w:rsidR="003B5491" w:rsidRPr="00EF153E" w:rsidRDefault="00E56D87" w:rsidP="00121047">
      <w:pPr>
        <w:pStyle w:val="BodyText"/>
        <w:spacing w:before="240" w:after="240"/>
        <w:jc w:val="center"/>
        <w:rPr>
          <w:rFonts w:cs="Times New Roman"/>
        </w:rPr>
      </w:pPr>
      <w:r w:rsidRPr="000E5CAC">
        <w:rPr>
          <w:rFonts w:cs="Times New Roman"/>
          <w:b/>
        </w:rPr>
        <w:t>Table 2:</w:t>
      </w:r>
      <w:r w:rsidRPr="000E5CAC">
        <w:rPr>
          <w:b/>
        </w:rPr>
        <w:t xml:space="preserve"> </w:t>
      </w:r>
      <w:hyperlink r:id="rId16" w:history="1">
        <w:r w:rsidR="003B5491" w:rsidRPr="000E5CAC">
          <w:rPr>
            <w:rStyle w:val="Hyperlink"/>
            <w:rFonts w:cs="Times New Roman"/>
            <w:b/>
            <w:color w:val="auto"/>
            <w:u w:val="none"/>
          </w:rPr>
          <w:t>Details of the PD</w:t>
        </w:r>
      </w:hyperlink>
      <w:r w:rsidR="003B5491" w:rsidRPr="000E5CAC">
        <w:rPr>
          <w:rFonts w:cs="Times New Roman"/>
          <w:b/>
        </w:rPr>
        <w:t xml:space="preserve"> accounts as on 31 March 202</w:t>
      </w:r>
      <w:r w:rsidR="002B6D92">
        <w:rPr>
          <w:rFonts w:cs="Times New Roman"/>
          <w:b/>
        </w:rPr>
        <w:t>2</w:t>
      </w:r>
    </w:p>
    <w:p w14:paraId="127BB002" w14:textId="77777777" w:rsidR="003B5491" w:rsidRPr="003B5491" w:rsidRDefault="003B5491" w:rsidP="00B90901">
      <w:pPr>
        <w:pStyle w:val="BodyText"/>
        <w:spacing w:after="60"/>
        <w:jc w:val="right"/>
        <w:rPr>
          <w:rFonts w:cs="Times New Roman"/>
          <w:b/>
        </w:rPr>
      </w:pPr>
      <w:r w:rsidRPr="003B5491">
        <w:rPr>
          <w:rFonts w:cs="Times New Roman"/>
          <w:b/>
        </w:rPr>
        <w:t>(₹</w:t>
      </w:r>
      <w:r w:rsidR="009D29FC">
        <w:rPr>
          <w:rFonts w:cs="Times New Roman"/>
          <w:b/>
        </w:rPr>
        <w:t xml:space="preserve"> </w:t>
      </w:r>
      <w:r w:rsidRPr="003B5491">
        <w:rPr>
          <w:rFonts w:cs="Times New Roman"/>
          <w:b/>
        </w:rPr>
        <w:t>in crore)</w:t>
      </w:r>
    </w:p>
    <w:tbl>
      <w:tblPr>
        <w:tblW w:w="8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810"/>
        <w:gridCol w:w="1350"/>
        <w:gridCol w:w="810"/>
        <w:gridCol w:w="1440"/>
        <w:gridCol w:w="823"/>
        <w:gridCol w:w="1350"/>
        <w:gridCol w:w="810"/>
      </w:tblGrid>
      <w:tr w:rsidR="003B5491" w:rsidRPr="00EF153E" w14:paraId="783A9F6B" w14:textId="77777777" w:rsidTr="00812893">
        <w:trPr>
          <w:trHeight w:val="775"/>
          <w:jc w:val="center"/>
        </w:trPr>
        <w:tc>
          <w:tcPr>
            <w:tcW w:w="2123" w:type="dxa"/>
            <w:gridSpan w:val="2"/>
            <w:shd w:val="clear" w:color="auto" w:fill="D9D9D9"/>
            <w:vAlign w:val="center"/>
          </w:tcPr>
          <w:p w14:paraId="2E1C05C8" w14:textId="3A307471" w:rsidR="003B5491" w:rsidRPr="00EF153E" w:rsidRDefault="003B5491" w:rsidP="00121047">
            <w:pPr>
              <w:spacing w:before="160" w:line="276" w:lineRule="auto"/>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Opening Ba</w:t>
            </w:r>
            <w:r>
              <w:rPr>
                <w:rFonts w:ascii="Times New Roman" w:hAnsi="Times New Roman" w:cs="Times New Roman"/>
                <w:b/>
                <w:sz w:val="18"/>
                <w:szCs w:val="18"/>
                <w:lang w:eastAsia="en-IN"/>
              </w:rPr>
              <w:t xml:space="preserve">lance </w:t>
            </w:r>
            <w:r w:rsidR="00CD6277">
              <w:rPr>
                <w:rFonts w:ascii="Times New Roman" w:hAnsi="Times New Roman" w:cs="Times New Roman"/>
                <w:b/>
                <w:sz w:val="18"/>
                <w:szCs w:val="18"/>
                <w:lang w:eastAsia="en-IN"/>
              </w:rPr>
              <w:br/>
            </w:r>
            <w:r>
              <w:rPr>
                <w:rFonts w:ascii="Times New Roman" w:hAnsi="Times New Roman" w:cs="Times New Roman"/>
                <w:b/>
                <w:sz w:val="18"/>
                <w:szCs w:val="18"/>
                <w:lang w:eastAsia="en-IN"/>
              </w:rPr>
              <w:t>as on April 202</w:t>
            </w:r>
            <w:r w:rsidR="00BA48DC">
              <w:rPr>
                <w:rFonts w:ascii="Times New Roman" w:hAnsi="Times New Roman" w:cs="Times New Roman"/>
                <w:b/>
                <w:sz w:val="18"/>
                <w:szCs w:val="18"/>
                <w:lang w:eastAsia="en-IN"/>
              </w:rPr>
              <w:t>1</w:t>
            </w:r>
          </w:p>
        </w:tc>
        <w:tc>
          <w:tcPr>
            <w:tcW w:w="2160" w:type="dxa"/>
            <w:gridSpan w:val="2"/>
            <w:shd w:val="clear" w:color="auto" w:fill="D9D9D9"/>
            <w:vAlign w:val="center"/>
          </w:tcPr>
          <w:p w14:paraId="0416A752" w14:textId="6FEFF8A7" w:rsidR="003B5491" w:rsidRPr="00EF153E" w:rsidRDefault="003B5491" w:rsidP="00121047">
            <w:pPr>
              <w:spacing w:before="160" w:line="276" w:lineRule="auto"/>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 xml:space="preserve">Addition during </w:t>
            </w:r>
            <w:r w:rsidR="00CD6277">
              <w:rPr>
                <w:rFonts w:ascii="Times New Roman" w:hAnsi="Times New Roman" w:cs="Times New Roman"/>
                <w:b/>
                <w:sz w:val="18"/>
                <w:szCs w:val="18"/>
                <w:lang w:eastAsia="en-IN"/>
              </w:rPr>
              <w:br/>
            </w:r>
            <w:r w:rsidRPr="00EF153E">
              <w:rPr>
                <w:rFonts w:ascii="Times New Roman" w:hAnsi="Times New Roman" w:cs="Times New Roman"/>
                <w:b/>
                <w:sz w:val="18"/>
                <w:szCs w:val="18"/>
                <w:lang w:eastAsia="en-IN"/>
              </w:rPr>
              <w:t xml:space="preserve">the year </w:t>
            </w:r>
            <w:r>
              <w:rPr>
                <w:rFonts w:ascii="Times New Roman" w:hAnsi="Times New Roman" w:cs="Times New Roman"/>
                <w:b/>
                <w:sz w:val="18"/>
                <w:szCs w:val="18"/>
                <w:lang w:eastAsia="en-IN"/>
              </w:rPr>
              <w:t>202</w:t>
            </w:r>
            <w:r w:rsidR="00BA48DC">
              <w:rPr>
                <w:rFonts w:ascii="Times New Roman" w:hAnsi="Times New Roman" w:cs="Times New Roman"/>
                <w:b/>
                <w:sz w:val="18"/>
                <w:szCs w:val="18"/>
                <w:lang w:eastAsia="en-IN"/>
              </w:rPr>
              <w:t>1</w:t>
            </w:r>
            <w:r w:rsidRPr="00EF153E">
              <w:rPr>
                <w:rFonts w:ascii="Times New Roman" w:hAnsi="Times New Roman" w:cs="Times New Roman"/>
                <w:b/>
                <w:sz w:val="18"/>
                <w:szCs w:val="18"/>
                <w:lang w:eastAsia="en-IN"/>
              </w:rPr>
              <w:t>-2</w:t>
            </w:r>
            <w:r w:rsidR="00BA48DC">
              <w:rPr>
                <w:rFonts w:ascii="Times New Roman" w:hAnsi="Times New Roman" w:cs="Times New Roman"/>
                <w:b/>
                <w:sz w:val="18"/>
                <w:szCs w:val="18"/>
                <w:lang w:eastAsia="en-IN"/>
              </w:rPr>
              <w:t>2</w:t>
            </w:r>
          </w:p>
        </w:tc>
        <w:tc>
          <w:tcPr>
            <w:tcW w:w="2263" w:type="dxa"/>
            <w:gridSpan w:val="2"/>
            <w:shd w:val="clear" w:color="auto" w:fill="D9D9D9"/>
            <w:vAlign w:val="center"/>
          </w:tcPr>
          <w:p w14:paraId="741DAA36" w14:textId="64230432" w:rsidR="003B5491" w:rsidRPr="00EF153E" w:rsidRDefault="003B5491" w:rsidP="00121047">
            <w:pPr>
              <w:spacing w:before="160" w:line="276" w:lineRule="auto"/>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 xml:space="preserve">Closed/Withdrawal during the </w:t>
            </w:r>
            <w:r w:rsidR="00CD6277">
              <w:rPr>
                <w:rFonts w:ascii="Times New Roman" w:hAnsi="Times New Roman" w:cs="Times New Roman"/>
                <w:b/>
                <w:sz w:val="18"/>
                <w:szCs w:val="18"/>
                <w:lang w:eastAsia="en-IN"/>
              </w:rPr>
              <w:br/>
            </w:r>
            <w:r w:rsidRPr="00EF153E">
              <w:rPr>
                <w:rFonts w:ascii="Times New Roman" w:hAnsi="Times New Roman" w:cs="Times New Roman"/>
                <w:b/>
                <w:sz w:val="18"/>
                <w:szCs w:val="18"/>
                <w:lang w:eastAsia="en-IN"/>
              </w:rPr>
              <w:t xml:space="preserve">year </w:t>
            </w:r>
            <w:r>
              <w:rPr>
                <w:rFonts w:ascii="Times New Roman" w:hAnsi="Times New Roman" w:cs="Times New Roman"/>
                <w:b/>
                <w:sz w:val="18"/>
                <w:szCs w:val="18"/>
                <w:lang w:eastAsia="en-IN"/>
              </w:rPr>
              <w:t>202</w:t>
            </w:r>
            <w:r w:rsidR="00BA48DC">
              <w:rPr>
                <w:rFonts w:ascii="Times New Roman" w:hAnsi="Times New Roman" w:cs="Times New Roman"/>
                <w:b/>
                <w:sz w:val="18"/>
                <w:szCs w:val="18"/>
                <w:lang w:eastAsia="en-IN"/>
              </w:rPr>
              <w:t>1</w:t>
            </w:r>
            <w:r w:rsidRPr="00EF153E">
              <w:rPr>
                <w:rFonts w:ascii="Times New Roman" w:hAnsi="Times New Roman" w:cs="Times New Roman"/>
                <w:b/>
                <w:sz w:val="18"/>
                <w:szCs w:val="18"/>
                <w:lang w:eastAsia="en-IN"/>
              </w:rPr>
              <w:t>-2</w:t>
            </w:r>
            <w:r w:rsidR="00BA48DC">
              <w:rPr>
                <w:rFonts w:ascii="Times New Roman" w:hAnsi="Times New Roman" w:cs="Times New Roman"/>
                <w:b/>
                <w:sz w:val="18"/>
                <w:szCs w:val="18"/>
                <w:lang w:eastAsia="en-IN"/>
              </w:rPr>
              <w:t>2</w:t>
            </w:r>
          </w:p>
        </w:tc>
        <w:tc>
          <w:tcPr>
            <w:tcW w:w="2160" w:type="dxa"/>
            <w:gridSpan w:val="2"/>
            <w:shd w:val="clear" w:color="auto" w:fill="D9D9D9"/>
            <w:vAlign w:val="center"/>
          </w:tcPr>
          <w:p w14:paraId="3117C704" w14:textId="480591B4" w:rsidR="003B5491" w:rsidRPr="00EF153E" w:rsidRDefault="003B5491" w:rsidP="00121047">
            <w:pPr>
              <w:spacing w:before="160" w:line="276" w:lineRule="auto"/>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 xml:space="preserve">Closing Balance </w:t>
            </w:r>
            <w:r w:rsidR="00CD6277">
              <w:rPr>
                <w:rFonts w:ascii="Times New Roman" w:hAnsi="Times New Roman" w:cs="Times New Roman"/>
                <w:b/>
                <w:sz w:val="18"/>
                <w:szCs w:val="18"/>
                <w:lang w:eastAsia="en-IN"/>
              </w:rPr>
              <w:br/>
            </w:r>
            <w:r w:rsidRPr="00EF153E">
              <w:rPr>
                <w:rFonts w:ascii="Times New Roman" w:hAnsi="Times New Roman" w:cs="Times New Roman"/>
                <w:b/>
                <w:sz w:val="18"/>
                <w:szCs w:val="18"/>
                <w:lang w:eastAsia="en-IN"/>
              </w:rPr>
              <w:t>as on 31</w:t>
            </w:r>
            <w:r w:rsidR="00EE3BD0">
              <w:rPr>
                <w:rFonts w:ascii="Times New Roman" w:hAnsi="Times New Roman" w:cs="Times New Roman"/>
                <w:b/>
                <w:sz w:val="18"/>
                <w:szCs w:val="18"/>
                <w:lang w:eastAsia="en-IN"/>
              </w:rPr>
              <w:t> </w:t>
            </w:r>
            <w:r w:rsidRPr="00EF153E">
              <w:rPr>
                <w:rFonts w:ascii="Times New Roman" w:hAnsi="Times New Roman" w:cs="Times New Roman"/>
                <w:b/>
                <w:sz w:val="18"/>
                <w:szCs w:val="18"/>
                <w:lang w:eastAsia="en-IN"/>
              </w:rPr>
              <w:t xml:space="preserve">March </w:t>
            </w:r>
            <w:r>
              <w:rPr>
                <w:rFonts w:ascii="Times New Roman" w:hAnsi="Times New Roman" w:cs="Times New Roman"/>
                <w:b/>
                <w:sz w:val="18"/>
                <w:szCs w:val="18"/>
                <w:lang w:eastAsia="en-IN"/>
              </w:rPr>
              <w:t>202</w:t>
            </w:r>
            <w:r w:rsidR="00BA48DC">
              <w:rPr>
                <w:rFonts w:ascii="Times New Roman" w:hAnsi="Times New Roman" w:cs="Times New Roman"/>
                <w:b/>
                <w:sz w:val="18"/>
                <w:szCs w:val="18"/>
                <w:lang w:eastAsia="en-IN"/>
              </w:rPr>
              <w:t>2</w:t>
            </w:r>
          </w:p>
        </w:tc>
      </w:tr>
      <w:tr w:rsidR="003B5491" w:rsidRPr="00EF153E" w14:paraId="37B9CD6E" w14:textId="77777777" w:rsidTr="00812893">
        <w:trPr>
          <w:trHeight w:val="559"/>
          <w:jc w:val="center"/>
        </w:trPr>
        <w:tc>
          <w:tcPr>
            <w:tcW w:w="1313" w:type="dxa"/>
            <w:shd w:val="clear" w:color="auto" w:fill="auto"/>
            <w:vAlign w:val="center"/>
          </w:tcPr>
          <w:p w14:paraId="7C02CA32" w14:textId="77777777" w:rsidR="003B5491" w:rsidRPr="00EF153E" w:rsidRDefault="003B5491" w:rsidP="00121047">
            <w:pPr>
              <w:spacing w:before="160" w:line="276"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Number of Administrators</w:t>
            </w:r>
          </w:p>
        </w:tc>
        <w:tc>
          <w:tcPr>
            <w:tcW w:w="810" w:type="dxa"/>
            <w:shd w:val="clear" w:color="auto" w:fill="auto"/>
            <w:vAlign w:val="center"/>
          </w:tcPr>
          <w:p w14:paraId="1213E9F6" w14:textId="77777777" w:rsidR="003B5491" w:rsidRPr="00EF153E" w:rsidRDefault="003B5491" w:rsidP="00121047">
            <w:pPr>
              <w:spacing w:before="160" w:line="276"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Amount</w:t>
            </w:r>
          </w:p>
        </w:tc>
        <w:tc>
          <w:tcPr>
            <w:tcW w:w="1350" w:type="dxa"/>
            <w:shd w:val="clear" w:color="auto" w:fill="auto"/>
            <w:vAlign w:val="center"/>
          </w:tcPr>
          <w:p w14:paraId="21033758" w14:textId="77777777" w:rsidR="003B5491" w:rsidRPr="00EF153E" w:rsidRDefault="003B5491" w:rsidP="00121047">
            <w:pPr>
              <w:spacing w:before="160" w:line="276"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Number of Administrators</w:t>
            </w:r>
          </w:p>
        </w:tc>
        <w:tc>
          <w:tcPr>
            <w:tcW w:w="810" w:type="dxa"/>
            <w:shd w:val="clear" w:color="auto" w:fill="auto"/>
            <w:vAlign w:val="center"/>
          </w:tcPr>
          <w:p w14:paraId="136EEE8F" w14:textId="77777777" w:rsidR="003B5491" w:rsidRPr="00EF153E" w:rsidRDefault="003B5491" w:rsidP="00121047">
            <w:pPr>
              <w:spacing w:before="160" w:line="276"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Amount</w:t>
            </w:r>
          </w:p>
        </w:tc>
        <w:tc>
          <w:tcPr>
            <w:tcW w:w="1440" w:type="dxa"/>
            <w:shd w:val="clear" w:color="auto" w:fill="auto"/>
            <w:vAlign w:val="center"/>
          </w:tcPr>
          <w:p w14:paraId="21C29148" w14:textId="77777777" w:rsidR="003B5491" w:rsidRPr="00EF153E" w:rsidRDefault="003B5491" w:rsidP="00121047">
            <w:pPr>
              <w:spacing w:before="160" w:line="276"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Number of Administrators</w:t>
            </w:r>
          </w:p>
        </w:tc>
        <w:tc>
          <w:tcPr>
            <w:tcW w:w="823" w:type="dxa"/>
            <w:shd w:val="clear" w:color="auto" w:fill="auto"/>
            <w:vAlign w:val="center"/>
          </w:tcPr>
          <w:p w14:paraId="404C4CE0" w14:textId="77777777" w:rsidR="003B5491" w:rsidRPr="00EF153E" w:rsidRDefault="003B5491" w:rsidP="00121047">
            <w:pPr>
              <w:spacing w:before="160" w:line="276"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Amount</w:t>
            </w:r>
          </w:p>
        </w:tc>
        <w:tc>
          <w:tcPr>
            <w:tcW w:w="1350" w:type="dxa"/>
            <w:shd w:val="clear" w:color="auto" w:fill="auto"/>
            <w:vAlign w:val="center"/>
          </w:tcPr>
          <w:p w14:paraId="4A2DFF6C" w14:textId="77777777" w:rsidR="003B5491" w:rsidRPr="00EF153E" w:rsidRDefault="003B5491" w:rsidP="00121047">
            <w:pPr>
              <w:spacing w:before="160" w:line="276"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Number of Administrators</w:t>
            </w:r>
          </w:p>
        </w:tc>
        <w:tc>
          <w:tcPr>
            <w:tcW w:w="810" w:type="dxa"/>
            <w:shd w:val="clear" w:color="auto" w:fill="auto"/>
            <w:vAlign w:val="center"/>
          </w:tcPr>
          <w:p w14:paraId="61ACA81A" w14:textId="77777777" w:rsidR="003B5491" w:rsidRPr="00EF153E" w:rsidRDefault="003B5491" w:rsidP="00121047">
            <w:pPr>
              <w:spacing w:before="160" w:line="276" w:lineRule="auto"/>
              <w:ind w:left="-72" w:right="-72"/>
              <w:jc w:val="center"/>
              <w:outlineLvl w:val="0"/>
              <w:rPr>
                <w:rFonts w:ascii="Times New Roman" w:hAnsi="Times New Roman" w:cs="Times New Roman"/>
                <w:b/>
                <w:sz w:val="18"/>
                <w:szCs w:val="18"/>
                <w:lang w:eastAsia="en-IN"/>
              </w:rPr>
            </w:pPr>
            <w:r w:rsidRPr="00EF153E">
              <w:rPr>
                <w:rFonts w:ascii="Times New Roman" w:hAnsi="Times New Roman" w:cs="Times New Roman"/>
                <w:b/>
                <w:sz w:val="18"/>
                <w:szCs w:val="18"/>
                <w:lang w:eastAsia="en-IN"/>
              </w:rPr>
              <w:t>Amount</w:t>
            </w:r>
          </w:p>
        </w:tc>
      </w:tr>
      <w:tr w:rsidR="003B5491" w:rsidRPr="00EF153E" w14:paraId="71873A75" w14:textId="77777777" w:rsidTr="00812893">
        <w:trPr>
          <w:trHeight w:val="20"/>
          <w:jc w:val="center"/>
        </w:trPr>
        <w:tc>
          <w:tcPr>
            <w:tcW w:w="1313" w:type="dxa"/>
            <w:vAlign w:val="center"/>
          </w:tcPr>
          <w:p w14:paraId="6E0AC296" w14:textId="77777777" w:rsidR="003B5491"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2</w:t>
            </w:r>
          </w:p>
        </w:tc>
        <w:tc>
          <w:tcPr>
            <w:tcW w:w="810" w:type="dxa"/>
            <w:vAlign w:val="center"/>
          </w:tcPr>
          <w:p w14:paraId="2DD7D53A" w14:textId="77777777" w:rsidR="003B5491"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3.18</w:t>
            </w:r>
          </w:p>
        </w:tc>
        <w:tc>
          <w:tcPr>
            <w:tcW w:w="1350" w:type="dxa"/>
            <w:vAlign w:val="center"/>
          </w:tcPr>
          <w:p w14:paraId="4C1BD8BA" w14:textId="77777777" w:rsidR="003B5491"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Nil</w:t>
            </w:r>
          </w:p>
        </w:tc>
        <w:tc>
          <w:tcPr>
            <w:tcW w:w="810" w:type="dxa"/>
            <w:vAlign w:val="center"/>
          </w:tcPr>
          <w:p w14:paraId="63563C6C" w14:textId="77777777" w:rsidR="003B5491"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0.07</w:t>
            </w:r>
          </w:p>
        </w:tc>
        <w:tc>
          <w:tcPr>
            <w:tcW w:w="1440" w:type="dxa"/>
            <w:vAlign w:val="center"/>
          </w:tcPr>
          <w:p w14:paraId="7E58E7CD" w14:textId="77777777" w:rsidR="003B5491"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Nil</w:t>
            </w:r>
          </w:p>
        </w:tc>
        <w:tc>
          <w:tcPr>
            <w:tcW w:w="823" w:type="dxa"/>
            <w:vAlign w:val="center"/>
          </w:tcPr>
          <w:p w14:paraId="33C1AB3E" w14:textId="77777777" w:rsidR="003B5491"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Nil</w:t>
            </w:r>
          </w:p>
        </w:tc>
        <w:tc>
          <w:tcPr>
            <w:tcW w:w="1350" w:type="dxa"/>
            <w:vAlign w:val="center"/>
          </w:tcPr>
          <w:p w14:paraId="27D34876" w14:textId="77777777" w:rsidR="003B5491"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2</w:t>
            </w:r>
          </w:p>
        </w:tc>
        <w:tc>
          <w:tcPr>
            <w:tcW w:w="810" w:type="dxa"/>
            <w:vAlign w:val="center"/>
          </w:tcPr>
          <w:p w14:paraId="6F8F8FA9" w14:textId="77777777" w:rsidR="003B5491" w:rsidRPr="00EF153E" w:rsidRDefault="00BA48DC" w:rsidP="00121047">
            <w:pPr>
              <w:widowControl w:val="0"/>
              <w:autoSpaceDE w:val="0"/>
              <w:autoSpaceDN w:val="0"/>
              <w:spacing w:before="160" w:line="276" w:lineRule="auto"/>
              <w:jc w:val="center"/>
              <w:outlineLvl w:val="0"/>
              <w:rPr>
                <w:rFonts w:ascii="Times New Roman" w:hAnsi="Times New Roman" w:cs="Times New Roman"/>
                <w:sz w:val="24"/>
                <w:szCs w:val="18"/>
                <w:lang w:eastAsia="en-IN"/>
              </w:rPr>
            </w:pPr>
            <w:r>
              <w:rPr>
                <w:rFonts w:ascii="Times New Roman" w:hAnsi="Times New Roman" w:cs="Times New Roman"/>
                <w:sz w:val="24"/>
                <w:szCs w:val="18"/>
                <w:lang w:eastAsia="en-IN"/>
              </w:rPr>
              <w:t>3.25</w:t>
            </w:r>
          </w:p>
        </w:tc>
      </w:tr>
    </w:tbl>
    <w:p w14:paraId="6BDA8247" w14:textId="7DDEB0CB" w:rsidR="00F521F1" w:rsidRPr="00F521F1" w:rsidRDefault="00F521F1" w:rsidP="00121047">
      <w:pPr>
        <w:pStyle w:val="ListParagraph"/>
        <w:widowControl w:val="0"/>
        <w:autoSpaceDE w:val="0"/>
        <w:autoSpaceDN w:val="0"/>
        <w:adjustRightInd w:val="0"/>
        <w:spacing w:before="240" w:after="240" w:line="288" w:lineRule="auto"/>
        <w:ind w:left="360"/>
        <w:contextualSpacing w:val="0"/>
        <w:jc w:val="both"/>
        <w:rPr>
          <w:rFonts w:ascii="Times New Roman" w:hAnsi="Times New Roman" w:cs="Times New Roman"/>
          <w:bCs/>
          <w:i/>
          <w:sz w:val="24"/>
          <w:szCs w:val="24"/>
        </w:rPr>
      </w:pPr>
      <w:r w:rsidRPr="00F521F1">
        <w:rPr>
          <w:rFonts w:ascii="Times New Roman" w:hAnsi="Times New Roman" w:cs="Times New Roman"/>
          <w:bCs/>
          <w:i/>
          <w:sz w:val="24"/>
          <w:szCs w:val="24"/>
        </w:rPr>
        <w:t>The relevant figures are available in Statement No.</w:t>
      </w:r>
      <w:r w:rsidR="00812893">
        <w:rPr>
          <w:rFonts w:ascii="Times New Roman" w:hAnsi="Times New Roman" w:cs="Times New Roman"/>
          <w:bCs/>
          <w:i/>
          <w:sz w:val="24"/>
          <w:szCs w:val="24"/>
        </w:rPr>
        <w:t xml:space="preserve"> </w:t>
      </w:r>
      <w:r w:rsidRPr="00F521F1">
        <w:rPr>
          <w:rFonts w:ascii="Times New Roman" w:hAnsi="Times New Roman" w:cs="Times New Roman"/>
          <w:bCs/>
          <w:i/>
          <w:sz w:val="24"/>
          <w:szCs w:val="24"/>
        </w:rPr>
        <w:t>21 of the Finance Accounts.</w:t>
      </w:r>
    </w:p>
    <w:p w14:paraId="38C4CDA9" w14:textId="77777777" w:rsidR="00E92636" w:rsidRPr="00EF153E" w:rsidRDefault="00EA7270" w:rsidP="00AF72EB">
      <w:pPr>
        <w:pStyle w:val="ListParagraph"/>
        <w:widowControl w:val="0"/>
        <w:numPr>
          <w:ilvl w:val="0"/>
          <w:numId w:val="20"/>
        </w:numPr>
        <w:autoSpaceDE w:val="0"/>
        <w:autoSpaceDN w:val="0"/>
        <w:adjustRightInd w:val="0"/>
        <w:spacing w:before="120" w:after="120" w:line="288" w:lineRule="auto"/>
        <w:contextualSpacing w:val="0"/>
        <w:jc w:val="both"/>
        <w:rPr>
          <w:rFonts w:ascii="Times New Roman" w:hAnsi="Times New Roman" w:cs="Times New Roman"/>
          <w:b/>
          <w:bCs/>
          <w:sz w:val="24"/>
          <w:szCs w:val="24"/>
        </w:rPr>
      </w:pPr>
      <w:r w:rsidRPr="00EF153E">
        <w:rPr>
          <w:rFonts w:ascii="Times New Roman" w:hAnsi="Times New Roman" w:cs="Times New Roman"/>
          <w:b/>
          <w:sz w:val="24"/>
          <w:szCs w:val="24"/>
        </w:rPr>
        <w:t>Unadjusted</w:t>
      </w:r>
      <w:r w:rsidR="00AE5FA9" w:rsidRPr="00EF153E">
        <w:rPr>
          <w:rFonts w:ascii="Times New Roman" w:hAnsi="Times New Roman" w:cs="Times New Roman"/>
          <w:b/>
          <w:sz w:val="24"/>
          <w:szCs w:val="24"/>
        </w:rPr>
        <w:t xml:space="preserve"> </w:t>
      </w:r>
      <w:hyperlink r:id="rId17" w:history="1">
        <w:r w:rsidR="00662A7E" w:rsidRPr="00EF153E">
          <w:rPr>
            <w:rStyle w:val="Hyperlink"/>
            <w:rFonts w:ascii="Times New Roman" w:hAnsi="Times New Roman" w:cs="Times New Roman"/>
            <w:b/>
            <w:bCs/>
            <w:color w:val="auto"/>
            <w:sz w:val="24"/>
            <w:szCs w:val="24"/>
            <w:u w:val="none"/>
          </w:rPr>
          <w:t>Abstract Contingent (AC) Bills</w:t>
        </w:r>
      </w:hyperlink>
      <w:r w:rsidR="00E92636" w:rsidRPr="00EF153E">
        <w:rPr>
          <w:rFonts w:ascii="Times New Roman" w:hAnsi="Times New Roman" w:cs="Times New Roman"/>
          <w:b/>
          <w:bCs/>
          <w:sz w:val="24"/>
          <w:szCs w:val="24"/>
        </w:rPr>
        <w:t>:</w:t>
      </w:r>
    </w:p>
    <w:p w14:paraId="7112AD93" w14:textId="05038C0B" w:rsidR="00DA77DD" w:rsidRPr="00EF153E" w:rsidRDefault="00EA7270" w:rsidP="00B90901">
      <w:pPr>
        <w:widowControl w:val="0"/>
        <w:autoSpaceDE w:val="0"/>
        <w:autoSpaceDN w:val="0"/>
        <w:adjustRightInd w:val="0"/>
        <w:spacing w:after="240" w:line="288" w:lineRule="auto"/>
        <w:ind w:left="360"/>
        <w:jc w:val="both"/>
        <w:rPr>
          <w:rFonts w:ascii="Times New Roman" w:hAnsi="Times New Roman" w:cs="Times New Roman"/>
          <w:b/>
          <w:bCs/>
          <w:sz w:val="24"/>
          <w:szCs w:val="24"/>
        </w:rPr>
      </w:pPr>
      <w:r w:rsidRPr="00EF153E">
        <w:rPr>
          <w:rFonts w:ascii="Times New Roman" w:hAnsi="Times New Roman" w:cs="Times New Roman"/>
          <w:sz w:val="24"/>
          <w:szCs w:val="24"/>
        </w:rPr>
        <w:t>Financial rules (</w:t>
      </w:r>
      <w:r w:rsidRPr="00EF153E">
        <w:rPr>
          <w:rFonts w:ascii="Times New Roman" w:hAnsi="Times New Roman" w:cs="Times New Roman"/>
          <w:iCs/>
          <w:sz w:val="24"/>
          <w:szCs w:val="24"/>
        </w:rPr>
        <w:t>Rule 290 of Central Treasury Rules)</w:t>
      </w:r>
      <w:r w:rsidRPr="00EF153E">
        <w:rPr>
          <w:rFonts w:ascii="Times New Roman" w:hAnsi="Times New Roman" w:cs="Times New Roman"/>
          <w:sz w:val="24"/>
          <w:szCs w:val="24"/>
        </w:rPr>
        <w:t xml:space="preserve"> envisage that no moneys should be drawn from government treasury unless it is required for immediate disbursement. In emergent circumstances, Drawing and Disbursing Officers (DDOs) are authorized to draw sums of money through Abstract Contingent (AC) bills</w:t>
      </w:r>
      <w:r w:rsidR="00DB424E" w:rsidRPr="00EF153E">
        <w:rPr>
          <w:rFonts w:ascii="Times New Roman" w:hAnsi="Times New Roman" w:cs="Times New Roman"/>
          <w:sz w:val="24"/>
          <w:szCs w:val="24"/>
        </w:rPr>
        <w:t>.</w:t>
      </w:r>
      <w:r w:rsidRPr="00EF153E">
        <w:rPr>
          <w:rFonts w:ascii="Times New Roman" w:hAnsi="Times New Roman" w:cs="Times New Roman"/>
          <w:sz w:val="24"/>
          <w:szCs w:val="24"/>
        </w:rPr>
        <w:t xml:space="preserve"> In terms of the </w:t>
      </w:r>
      <w:r w:rsidR="00455937" w:rsidRPr="00EF153E">
        <w:rPr>
          <w:rFonts w:ascii="Times New Roman" w:hAnsi="Times New Roman" w:cs="Times New Roman"/>
          <w:sz w:val="24"/>
          <w:szCs w:val="24"/>
        </w:rPr>
        <w:t xml:space="preserve">Central </w:t>
      </w:r>
      <w:r w:rsidR="00455937" w:rsidRPr="00EF153E">
        <w:rPr>
          <w:rFonts w:ascii="Times New Roman" w:hAnsi="Times New Roman" w:cs="Times New Roman"/>
          <w:sz w:val="24"/>
          <w:szCs w:val="24"/>
        </w:rPr>
        <w:lastRenderedPageBreak/>
        <w:t>Treasury Rules, and adopted by</w:t>
      </w:r>
      <w:r w:rsidRPr="00EF153E">
        <w:rPr>
          <w:rFonts w:ascii="Times New Roman" w:hAnsi="Times New Roman" w:cs="Times New Roman"/>
          <w:sz w:val="24"/>
          <w:szCs w:val="24"/>
        </w:rPr>
        <w:t xml:space="preserve"> </w:t>
      </w:r>
      <w:r w:rsidR="001433DB">
        <w:rPr>
          <w:rFonts w:ascii="Times New Roman" w:hAnsi="Times New Roman" w:cs="Times New Roman"/>
          <w:sz w:val="24"/>
          <w:szCs w:val="24"/>
        </w:rPr>
        <w:t xml:space="preserve">the Government of Manipur, </w:t>
      </w:r>
      <w:r w:rsidRPr="00EF153E">
        <w:rPr>
          <w:rFonts w:ascii="Times New Roman" w:hAnsi="Times New Roman" w:cs="Times New Roman"/>
          <w:sz w:val="24"/>
          <w:szCs w:val="24"/>
        </w:rPr>
        <w:t>DDOs are required to present Detailed Countersigned Contingent (DCC) bills containing vouchers in support of final expenditure</w:t>
      </w:r>
      <w:r w:rsidR="00455937" w:rsidRPr="00EF153E">
        <w:rPr>
          <w:rFonts w:ascii="Times New Roman" w:hAnsi="Times New Roman" w:cs="Times New Roman"/>
          <w:sz w:val="24"/>
          <w:szCs w:val="24"/>
        </w:rPr>
        <w:t>. However, there is no provision of time limit fixed for submission of DCC bills to enforce financial discipline. Delayed submission or prolonged non submission of supporting DCC bills renders expenditure through AC bills opaque</w:t>
      </w:r>
      <w:r w:rsidR="00480243">
        <w:rPr>
          <w:rFonts w:ascii="Times New Roman" w:hAnsi="Times New Roman" w:cs="Times New Roman"/>
          <w:sz w:val="24"/>
          <w:szCs w:val="24"/>
        </w:rPr>
        <w:t>.</w:t>
      </w:r>
      <w:r w:rsidR="00455937" w:rsidRPr="00EF153E">
        <w:rPr>
          <w:rFonts w:ascii="Times New Roman" w:hAnsi="Times New Roman" w:cs="Times New Roman"/>
          <w:sz w:val="24"/>
          <w:szCs w:val="24"/>
        </w:rPr>
        <w:t xml:space="preserve"> </w:t>
      </w:r>
    </w:p>
    <w:p w14:paraId="0B840756" w14:textId="76C40987" w:rsidR="00FC1E42" w:rsidRDefault="00EA7270" w:rsidP="00B90901">
      <w:pPr>
        <w:widowControl w:val="0"/>
        <w:autoSpaceDE w:val="0"/>
        <w:autoSpaceDN w:val="0"/>
        <w:adjustRightInd w:val="0"/>
        <w:spacing w:before="240" w:after="240" w:line="288" w:lineRule="auto"/>
        <w:ind w:left="360"/>
        <w:jc w:val="both"/>
        <w:rPr>
          <w:rFonts w:ascii="Times New Roman" w:hAnsi="Times New Roman" w:cs="Times New Roman"/>
          <w:bCs/>
          <w:sz w:val="24"/>
          <w:szCs w:val="24"/>
        </w:rPr>
      </w:pPr>
      <w:r w:rsidRPr="00EF153E">
        <w:rPr>
          <w:rFonts w:ascii="Times New Roman" w:hAnsi="Times New Roman" w:cs="Times New Roman"/>
          <w:sz w:val="24"/>
          <w:szCs w:val="24"/>
        </w:rPr>
        <w:t xml:space="preserve">Out of </w:t>
      </w:r>
      <w:r w:rsidR="00EE0EDB">
        <w:rPr>
          <w:rFonts w:ascii="Times New Roman" w:hAnsi="Times New Roman" w:cs="Times New Roman"/>
          <w:sz w:val="24"/>
          <w:szCs w:val="24"/>
        </w:rPr>
        <w:t xml:space="preserve">470 </w:t>
      </w:r>
      <w:r w:rsidRPr="00EF153E">
        <w:rPr>
          <w:rFonts w:ascii="Times New Roman" w:hAnsi="Times New Roman" w:cs="Times New Roman"/>
          <w:sz w:val="24"/>
          <w:szCs w:val="24"/>
        </w:rPr>
        <w:t xml:space="preserve">AC bills amounting to </w:t>
      </w:r>
      <w:r w:rsidR="00EF153E">
        <w:rPr>
          <w:rFonts w:ascii="Times New Roman" w:hAnsi="Times New Roman" w:cs="Times New Roman"/>
          <w:sz w:val="24"/>
          <w:szCs w:val="24"/>
        </w:rPr>
        <w:t>₹</w:t>
      </w:r>
      <w:r w:rsidR="00EE0EDB">
        <w:rPr>
          <w:rFonts w:ascii="Times New Roman" w:hAnsi="Times New Roman" w:cs="Times New Roman"/>
          <w:sz w:val="24"/>
          <w:szCs w:val="24"/>
        </w:rPr>
        <w:t>2,419.29</w:t>
      </w:r>
      <w:r w:rsidRPr="00EF153E">
        <w:rPr>
          <w:rFonts w:ascii="Times New Roman" w:hAnsi="Times New Roman" w:cs="Times New Roman"/>
          <w:sz w:val="24"/>
          <w:szCs w:val="24"/>
        </w:rPr>
        <w:t xml:space="preserve"> crore drawn during the year </w:t>
      </w:r>
      <w:r w:rsidR="003442AC" w:rsidRPr="00EF153E">
        <w:rPr>
          <w:rFonts w:ascii="Times New Roman" w:hAnsi="Times New Roman" w:cs="Times New Roman"/>
          <w:sz w:val="24"/>
          <w:szCs w:val="24"/>
        </w:rPr>
        <w:t>202</w:t>
      </w:r>
      <w:r w:rsidR="006B6DAC">
        <w:rPr>
          <w:rFonts w:ascii="Times New Roman" w:hAnsi="Times New Roman" w:cs="Times New Roman"/>
          <w:sz w:val="24"/>
          <w:szCs w:val="24"/>
        </w:rPr>
        <w:t>2</w:t>
      </w:r>
      <w:r w:rsidR="003442AC" w:rsidRPr="00EF153E">
        <w:rPr>
          <w:rFonts w:ascii="Times New Roman" w:hAnsi="Times New Roman" w:cs="Times New Roman"/>
          <w:sz w:val="24"/>
          <w:szCs w:val="24"/>
        </w:rPr>
        <w:t>-2</w:t>
      </w:r>
      <w:r w:rsidR="006B6DAC">
        <w:rPr>
          <w:rFonts w:ascii="Times New Roman" w:hAnsi="Times New Roman" w:cs="Times New Roman"/>
          <w:sz w:val="24"/>
          <w:szCs w:val="24"/>
        </w:rPr>
        <w:t>3</w:t>
      </w:r>
      <w:r w:rsidRPr="00EF153E">
        <w:rPr>
          <w:rFonts w:ascii="Times New Roman" w:hAnsi="Times New Roman" w:cs="Times New Roman"/>
          <w:sz w:val="24"/>
          <w:szCs w:val="24"/>
        </w:rPr>
        <w:t xml:space="preserve">, </w:t>
      </w:r>
      <w:hyperlink r:id="rId18" w:history="1">
        <w:r w:rsidR="00EE0EDB">
          <w:rPr>
            <w:rStyle w:val="Hyperlink"/>
            <w:rFonts w:ascii="Times New Roman" w:hAnsi="Times New Roman" w:cs="Times New Roman"/>
            <w:color w:val="auto"/>
            <w:sz w:val="24"/>
            <w:szCs w:val="24"/>
            <w:u w:val="none"/>
          </w:rPr>
          <w:t>225</w:t>
        </w:r>
        <w:r w:rsidR="003442AC" w:rsidRPr="00EF153E">
          <w:rPr>
            <w:rStyle w:val="Hyperlink"/>
            <w:rFonts w:ascii="Times New Roman" w:hAnsi="Times New Roman" w:cs="Times New Roman"/>
            <w:color w:val="auto"/>
            <w:sz w:val="24"/>
            <w:szCs w:val="24"/>
            <w:u w:val="none"/>
          </w:rPr>
          <w:t xml:space="preserve"> </w:t>
        </w:r>
        <w:r w:rsidR="00662A7E" w:rsidRPr="00EF153E">
          <w:rPr>
            <w:rStyle w:val="Hyperlink"/>
            <w:rFonts w:ascii="Times New Roman" w:hAnsi="Times New Roman" w:cs="Times New Roman"/>
            <w:color w:val="auto"/>
            <w:sz w:val="24"/>
            <w:szCs w:val="24"/>
            <w:u w:val="none"/>
          </w:rPr>
          <w:t xml:space="preserve">AC bills amounting to </w:t>
        </w:r>
        <w:r w:rsidR="00EF153E">
          <w:rPr>
            <w:rFonts w:ascii="Times New Roman" w:hAnsi="Times New Roman" w:cs="Times New Roman"/>
            <w:sz w:val="24"/>
            <w:szCs w:val="24"/>
          </w:rPr>
          <w:t>₹</w:t>
        </w:r>
      </w:hyperlink>
      <w:r w:rsidR="00EE0EDB">
        <w:rPr>
          <w:rFonts w:ascii="Times New Roman" w:hAnsi="Times New Roman" w:cs="Times New Roman"/>
          <w:sz w:val="24"/>
          <w:szCs w:val="24"/>
        </w:rPr>
        <w:t>679.56</w:t>
      </w:r>
      <w:r w:rsidRPr="00EF153E">
        <w:rPr>
          <w:rFonts w:ascii="Times New Roman" w:hAnsi="Times New Roman" w:cs="Times New Roman"/>
          <w:sz w:val="24"/>
          <w:szCs w:val="24"/>
        </w:rPr>
        <w:t xml:space="preserve"> crore (</w:t>
      </w:r>
      <w:r w:rsidR="00EE0EDB">
        <w:rPr>
          <w:rFonts w:ascii="Times New Roman" w:hAnsi="Times New Roman" w:cs="Times New Roman"/>
          <w:sz w:val="24"/>
          <w:szCs w:val="24"/>
        </w:rPr>
        <w:t>28.09</w:t>
      </w:r>
      <w:r w:rsidR="003442AC" w:rsidRPr="00EF153E">
        <w:rPr>
          <w:rFonts w:ascii="Times New Roman" w:hAnsi="Times New Roman" w:cs="Times New Roman"/>
          <w:sz w:val="24"/>
          <w:szCs w:val="24"/>
        </w:rPr>
        <w:t xml:space="preserve"> </w:t>
      </w:r>
      <w:r w:rsidRPr="00EF153E">
        <w:rPr>
          <w:rFonts w:ascii="Times New Roman" w:hAnsi="Times New Roman" w:cs="Times New Roman"/>
          <w:i/>
          <w:sz w:val="24"/>
          <w:szCs w:val="24"/>
        </w:rPr>
        <w:t>per cent</w:t>
      </w:r>
      <w:r w:rsidRPr="00EF153E">
        <w:rPr>
          <w:rFonts w:ascii="Times New Roman" w:hAnsi="Times New Roman" w:cs="Times New Roman"/>
          <w:sz w:val="24"/>
          <w:szCs w:val="24"/>
        </w:rPr>
        <w:t xml:space="preserve">) were drawn in March </w:t>
      </w:r>
      <w:r w:rsidR="003442AC" w:rsidRPr="00EF153E">
        <w:rPr>
          <w:rFonts w:ascii="Times New Roman" w:hAnsi="Times New Roman" w:cs="Times New Roman"/>
          <w:sz w:val="24"/>
          <w:szCs w:val="24"/>
        </w:rPr>
        <w:t>202</w:t>
      </w:r>
      <w:r w:rsidR="006B6DAC">
        <w:rPr>
          <w:rFonts w:ascii="Times New Roman" w:hAnsi="Times New Roman" w:cs="Times New Roman"/>
          <w:sz w:val="24"/>
          <w:szCs w:val="24"/>
        </w:rPr>
        <w:t>3</w:t>
      </w:r>
      <w:r w:rsidRPr="00EF153E">
        <w:rPr>
          <w:rFonts w:ascii="Times New Roman" w:hAnsi="Times New Roman" w:cs="Times New Roman"/>
          <w:sz w:val="24"/>
          <w:szCs w:val="24"/>
        </w:rPr>
        <w:t xml:space="preserve">. </w:t>
      </w:r>
      <w:r w:rsidR="00FC2811">
        <w:rPr>
          <w:rFonts w:ascii="Times New Roman" w:hAnsi="Times New Roman" w:cs="Times New Roman"/>
          <w:sz w:val="24"/>
          <w:szCs w:val="24"/>
        </w:rPr>
        <w:t xml:space="preserve">During 2022-23, 80 AC </w:t>
      </w:r>
      <w:r w:rsidR="00345199">
        <w:rPr>
          <w:rFonts w:ascii="Times New Roman" w:hAnsi="Times New Roman" w:cs="Times New Roman"/>
          <w:sz w:val="24"/>
          <w:szCs w:val="24"/>
        </w:rPr>
        <w:t>b</w:t>
      </w:r>
      <w:r w:rsidR="00FC2811">
        <w:rPr>
          <w:rFonts w:ascii="Times New Roman" w:hAnsi="Times New Roman" w:cs="Times New Roman"/>
          <w:sz w:val="24"/>
          <w:szCs w:val="24"/>
        </w:rPr>
        <w:t xml:space="preserve">ills amounting to ₹261.15 crore were clear which includes 49 AC </w:t>
      </w:r>
      <w:r w:rsidR="00345199">
        <w:rPr>
          <w:rFonts w:ascii="Times New Roman" w:hAnsi="Times New Roman" w:cs="Times New Roman"/>
          <w:sz w:val="24"/>
          <w:szCs w:val="24"/>
        </w:rPr>
        <w:t>b</w:t>
      </w:r>
      <w:r w:rsidR="00FC2811">
        <w:rPr>
          <w:rFonts w:ascii="Times New Roman" w:hAnsi="Times New Roman" w:cs="Times New Roman"/>
          <w:sz w:val="24"/>
          <w:szCs w:val="24"/>
        </w:rPr>
        <w:t>ills amounting to ₹108.93 crore dr</w:t>
      </w:r>
      <w:r w:rsidR="008C46F3">
        <w:rPr>
          <w:rFonts w:ascii="Times New Roman" w:hAnsi="Times New Roman" w:cs="Times New Roman"/>
          <w:sz w:val="24"/>
          <w:szCs w:val="24"/>
        </w:rPr>
        <w:t>a</w:t>
      </w:r>
      <w:r w:rsidR="00FC2811">
        <w:rPr>
          <w:rFonts w:ascii="Times New Roman" w:hAnsi="Times New Roman" w:cs="Times New Roman"/>
          <w:sz w:val="24"/>
          <w:szCs w:val="24"/>
        </w:rPr>
        <w:t xml:space="preserve">wn in 2022-23. </w:t>
      </w:r>
      <w:r w:rsidRPr="00EF153E">
        <w:rPr>
          <w:rFonts w:ascii="Times New Roman" w:hAnsi="Times New Roman" w:cs="Times New Roman"/>
          <w:sz w:val="24"/>
          <w:szCs w:val="24"/>
        </w:rPr>
        <w:t xml:space="preserve">DCC </w:t>
      </w:r>
      <w:r w:rsidR="00345199">
        <w:rPr>
          <w:rFonts w:ascii="Times New Roman" w:hAnsi="Times New Roman" w:cs="Times New Roman"/>
          <w:sz w:val="24"/>
          <w:szCs w:val="24"/>
        </w:rPr>
        <w:t>b</w:t>
      </w:r>
      <w:r w:rsidRPr="00EF153E">
        <w:rPr>
          <w:rFonts w:ascii="Times New Roman" w:hAnsi="Times New Roman" w:cs="Times New Roman"/>
          <w:sz w:val="24"/>
          <w:szCs w:val="24"/>
        </w:rPr>
        <w:t xml:space="preserve">ills in respect of a total of </w:t>
      </w:r>
      <w:r w:rsidR="00EE0EDB">
        <w:rPr>
          <w:rFonts w:ascii="Times New Roman" w:hAnsi="Times New Roman" w:cs="Times New Roman"/>
          <w:sz w:val="24"/>
          <w:szCs w:val="24"/>
        </w:rPr>
        <w:t>1672</w:t>
      </w:r>
      <w:r w:rsidR="003442AC" w:rsidRPr="00EF153E">
        <w:rPr>
          <w:rFonts w:ascii="Times New Roman" w:hAnsi="Times New Roman" w:cs="Times New Roman"/>
          <w:sz w:val="24"/>
          <w:szCs w:val="24"/>
        </w:rPr>
        <w:t xml:space="preserve"> </w:t>
      </w:r>
      <w:r w:rsidRPr="00EF153E">
        <w:rPr>
          <w:rFonts w:ascii="Times New Roman" w:hAnsi="Times New Roman" w:cs="Times New Roman"/>
          <w:sz w:val="24"/>
          <w:szCs w:val="24"/>
        </w:rPr>
        <w:t xml:space="preserve">AC bills amounting to </w:t>
      </w:r>
      <w:r w:rsidR="00EF153E">
        <w:rPr>
          <w:rFonts w:ascii="Times New Roman" w:hAnsi="Times New Roman" w:cs="Times New Roman"/>
          <w:sz w:val="24"/>
          <w:szCs w:val="24"/>
        </w:rPr>
        <w:t>₹</w:t>
      </w:r>
      <w:r w:rsidR="00EE0EDB">
        <w:rPr>
          <w:rFonts w:ascii="Times New Roman" w:hAnsi="Times New Roman" w:cs="Times New Roman"/>
          <w:sz w:val="24"/>
          <w:szCs w:val="24"/>
        </w:rPr>
        <w:t>5,293.81</w:t>
      </w:r>
      <w:r w:rsidRPr="00EF153E">
        <w:rPr>
          <w:rFonts w:ascii="Times New Roman" w:hAnsi="Times New Roman" w:cs="Times New Roman"/>
          <w:sz w:val="24"/>
          <w:szCs w:val="24"/>
        </w:rPr>
        <w:t xml:space="preserve"> crore as on </w:t>
      </w:r>
      <w:r w:rsidR="003442AC" w:rsidRPr="00EF153E">
        <w:rPr>
          <w:rFonts w:ascii="Times New Roman" w:hAnsi="Times New Roman" w:cs="Times New Roman"/>
          <w:sz w:val="24"/>
          <w:szCs w:val="24"/>
        </w:rPr>
        <w:t>31.03.202</w:t>
      </w:r>
      <w:r w:rsidR="006B6DAC">
        <w:rPr>
          <w:rFonts w:ascii="Times New Roman" w:hAnsi="Times New Roman" w:cs="Times New Roman"/>
          <w:sz w:val="24"/>
          <w:szCs w:val="24"/>
        </w:rPr>
        <w:t>3</w:t>
      </w:r>
      <w:r w:rsidRPr="00EF153E">
        <w:rPr>
          <w:rFonts w:ascii="Times New Roman" w:hAnsi="Times New Roman" w:cs="Times New Roman"/>
          <w:sz w:val="24"/>
          <w:szCs w:val="24"/>
        </w:rPr>
        <w:t xml:space="preserve"> were not received. </w:t>
      </w:r>
      <w:r w:rsidRPr="00EF153E">
        <w:rPr>
          <w:rFonts w:ascii="Times New Roman" w:hAnsi="Times New Roman" w:cs="Times New Roman"/>
          <w:bCs/>
          <w:sz w:val="24"/>
          <w:szCs w:val="24"/>
        </w:rPr>
        <w:t xml:space="preserve">Details of unadjusted AC bills as on 31 March </w:t>
      </w:r>
      <w:r w:rsidR="003442AC" w:rsidRPr="00EF153E">
        <w:rPr>
          <w:rFonts w:ascii="Times New Roman" w:hAnsi="Times New Roman" w:cs="Times New Roman"/>
          <w:bCs/>
          <w:sz w:val="24"/>
          <w:szCs w:val="24"/>
        </w:rPr>
        <w:t>202</w:t>
      </w:r>
      <w:r w:rsidR="006B6DAC">
        <w:rPr>
          <w:rFonts w:ascii="Times New Roman" w:hAnsi="Times New Roman" w:cs="Times New Roman"/>
          <w:bCs/>
          <w:sz w:val="24"/>
          <w:szCs w:val="24"/>
        </w:rPr>
        <w:t>3</w:t>
      </w:r>
      <w:r w:rsidRPr="00EF153E">
        <w:rPr>
          <w:rFonts w:ascii="Times New Roman" w:hAnsi="Times New Roman" w:cs="Times New Roman"/>
          <w:bCs/>
          <w:sz w:val="24"/>
          <w:szCs w:val="24"/>
        </w:rPr>
        <w:t xml:space="preserve"> pending submission of </w:t>
      </w:r>
      <w:r w:rsidR="00555E58" w:rsidRPr="00EF153E">
        <w:rPr>
          <w:rFonts w:ascii="Times New Roman" w:hAnsi="Times New Roman" w:cs="Times New Roman"/>
          <w:bCs/>
          <w:sz w:val="24"/>
          <w:szCs w:val="24"/>
        </w:rPr>
        <w:t xml:space="preserve">the </w:t>
      </w:r>
      <w:r w:rsidRPr="00EF153E">
        <w:rPr>
          <w:rFonts w:ascii="Times New Roman" w:hAnsi="Times New Roman" w:cs="Times New Roman"/>
          <w:bCs/>
          <w:sz w:val="24"/>
          <w:szCs w:val="24"/>
        </w:rPr>
        <w:t>DCC bills are given below:</w:t>
      </w:r>
      <w:r w:rsidR="00A22078">
        <w:rPr>
          <w:rFonts w:ascii="Times New Roman" w:hAnsi="Times New Roman" w:cs="Times New Roman"/>
          <w:bCs/>
          <w:sz w:val="24"/>
          <w:szCs w:val="24"/>
        </w:rPr>
        <w:t xml:space="preserve"> </w:t>
      </w:r>
    </w:p>
    <w:p w14:paraId="4BEBE745" w14:textId="18E29376" w:rsidR="00E56D87" w:rsidRPr="00EF153E" w:rsidRDefault="00E56D87" w:rsidP="002F7576">
      <w:pPr>
        <w:widowControl w:val="0"/>
        <w:autoSpaceDE w:val="0"/>
        <w:autoSpaceDN w:val="0"/>
        <w:adjustRightInd w:val="0"/>
        <w:spacing w:before="240" w:after="240" w:line="288" w:lineRule="auto"/>
        <w:jc w:val="center"/>
        <w:rPr>
          <w:rFonts w:ascii="Times New Roman" w:hAnsi="Times New Roman" w:cs="Times New Roman"/>
          <w:bCs/>
          <w:sz w:val="24"/>
          <w:szCs w:val="24"/>
        </w:rPr>
      </w:pPr>
      <w:r w:rsidRPr="000E5CAC">
        <w:rPr>
          <w:rFonts w:ascii="Times New Roman" w:hAnsi="Times New Roman" w:cs="Times New Roman"/>
          <w:b/>
          <w:bCs/>
          <w:sz w:val="24"/>
          <w:szCs w:val="24"/>
        </w:rPr>
        <w:t>Table 3</w:t>
      </w:r>
      <w:r w:rsidR="000E5CAC" w:rsidRPr="000E5CAC">
        <w:rPr>
          <w:rFonts w:ascii="Times New Roman" w:hAnsi="Times New Roman" w:cs="Times New Roman"/>
          <w:b/>
          <w:bCs/>
          <w:sz w:val="24"/>
          <w:szCs w:val="24"/>
        </w:rPr>
        <w:t>: Details of unadjusted AC bills as on 31 March 202</w:t>
      </w:r>
      <w:r w:rsidR="006B6DAC">
        <w:rPr>
          <w:rFonts w:ascii="Times New Roman" w:hAnsi="Times New Roman" w:cs="Times New Roman"/>
          <w:b/>
          <w:bCs/>
          <w:sz w:val="24"/>
          <w:szCs w:val="24"/>
        </w:rPr>
        <w:t>3</w:t>
      </w:r>
    </w:p>
    <w:tbl>
      <w:tblPr>
        <w:tblW w:w="8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9"/>
        <w:gridCol w:w="2610"/>
        <w:gridCol w:w="3450"/>
      </w:tblGrid>
      <w:tr w:rsidR="00DA77DD" w:rsidRPr="00EF153E" w14:paraId="2C1FE372" w14:textId="77777777" w:rsidTr="00812893">
        <w:trPr>
          <w:trHeight w:val="463"/>
          <w:jc w:val="center"/>
        </w:trPr>
        <w:tc>
          <w:tcPr>
            <w:tcW w:w="2359" w:type="dxa"/>
            <w:tcBorders>
              <w:top w:val="single" w:sz="4" w:space="0" w:color="auto"/>
              <w:left w:val="single" w:sz="4" w:space="0" w:color="auto"/>
              <w:bottom w:val="single" w:sz="4" w:space="0" w:color="auto"/>
              <w:right w:val="single" w:sz="4" w:space="0" w:color="auto"/>
            </w:tcBorders>
            <w:shd w:val="clear" w:color="auto" w:fill="D9D9D9"/>
            <w:vAlign w:val="center"/>
          </w:tcPr>
          <w:p w14:paraId="34140EB8" w14:textId="77777777" w:rsidR="00DA77DD" w:rsidRPr="00EF153E" w:rsidRDefault="00EA7270" w:rsidP="00B90901">
            <w:pPr>
              <w:spacing w:before="80" w:after="8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Year</w:t>
            </w:r>
          </w:p>
        </w:tc>
        <w:tc>
          <w:tcPr>
            <w:tcW w:w="2610" w:type="dxa"/>
            <w:tcBorders>
              <w:top w:val="single" w:sz="4" w:space="0" w:color="auto"/>
              <w:left w:val="single" w:sz="4" w:space="0" w:color="auto"/>
              <w:bottom w:val="single" w:sz="4" w:space="0" w:color="auto"/>
              <w:right w:val="single" w:sz="4" w:space="0" w:color="auto"/>
            </w:tcBorders>
            <w:shd w:val="clear" w:color="auto" w:fill="D9D9D9"/>
            <w:vAlign w:val="center"/>
          </w:tcPr>
          <w:p w14:paraId="00857BB8" w14:textId="77777777" w:rsidR="00DA77DD" w:rsidRPr="00EF153E" w:rsidRDefault="00EA7270" w:rsidP="00B90901">
            <w:pPr>
              <w:spacing w:before="80" w:after="8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No. of unadjusted AC Bills</w:t>
            </w:r>
          </w:p>
        </w:tc>
        <w:tc>
          <w:tcPr>
            <w:tcW w:w="3450" w:type="dxa"/>
            <w:tcBorders>
              <w:top w:val="single" w:sz="4" w:space="0" w:color="auto"/>
              <w:left w:val="single" w:sz="4" w:space="0" w:color="auto"/>
              <w:bottom w:val="single" w:sz="4" w:space="0" w:color="auto"/>
              <w:right w:val="single" w:sz="4" w:space="0" w:color="auto"/>
            </w:tcBorders>
            <w:shd w:val="clear" w:color="auto" w:fill="D9D9D9"/>
            <w:vAlign w:val="center"/>
          </w:tcPr>
          <w:p w14:paraId="1BE7F147" w14:textId="77777777" w:rsidR="00DA77DD" w:rsidRPr="00EF153E" w:rsidRDefault="00EA7270" w:rsidP="00B90901">
            <w:pPr>
              <w:spacing w:before="80" w:after="8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Amount (</w:t>
            </w:r>
            <w:r w:rsidR="00913B96" w:rsidRPr="00EF153E">
              <w:rPr>
                <w:rFonts w:ascii="Times New Roman" w:hAnsi="Times New Roman" w:cs="Times New Roman"/>
                <w:b/>
                <w:bCs/>
                <w:sz w:val="24"/>
                <w:szCs w:val="24"/>
              </w:rPr>
              <w:t>₹</w:t>
            </w:r>
            <w:r w:rsidR="00EC1362">
              <w:rPr>
                <w:rFonts w:ascii="Times New Roman" w:hAnsi="Times New Roman" w:cs="Times New Roman"/>
                <w:b/>
                <w:bCs/>
                <w:sz w:val="24"/>
                <w:szCs w:val="24"/>
              </w:rPr>
              <w:t xml:space="preserve"> </w:t>
            </w:r>
            <w:r w:rsidRPr="00EF153E">
              <w:rPr>
                <w:rFonts w:ascii="Times New Roman" w:hAnsi="Times New Roman" w:cs="Times New Roman"/>
                <w:b/>
                <w:bCs/>
                <w:sz w:val="24"/>
                <w:szCs w:val="24"/>
              </w:rPr>
              <w:t>in crore)</w:t>
            </w:r>
          </w:p>
        </w:tc>
      </w:tr>
      <w:tr w:rsidR="00DA77DD" w:rsidRPr="00EF153E" w14:paraId="0FACD450" w14:textId="77777777" w:rsidTr="00812893">
        <w:trPr>
          <w:jc w:val="center"/>
        </w:trPr>
        <w:tc>
          <w:tcPr>
            <w:tcW w:w="2359" w:type="dxa"/>
            <w:tcBorders>
              <w:top w:val="single" w:sz="4" w:space="0" w:color="auto"/>
              <w:left w:val="single" w:sz="4" w:space="0" w:color="auto"/>
              <w:bottom w:val="single" w:sz="4" w:space="0" w:color="auto"/>
              <w:right w:val="single" w:sz="4" w:space="0" w:color="auto"/>
            </w:tcBorders>
            <w:vAlign w:val="center"/>
          </w:tcPr>
          <w:p w14:paraId="5E6569A9" w14:textId="77777777" w:rsidR="00DA77DD" w:rsidRPr="00EF153E" w:rsidRDefault="00F6086F" w:rsidP="00B90901">
            <w:pPr>
              <w:spacing w:before="80" w:after="80" w:line="276" w:lineRule="auto"/>
              <w:jc w:val="center"/>
              <w:outlineLvl w:val="0"/>
              <w:rPr>
                <w:rFonts w:ascii="Times New Roman" w:hAnsi="Times New Roman" w:cs="Times New Roman"/>
                <w:sz w:val="24"/>
                <w:szCs w:val="24"/>
              </w:rPr>
            </w:pPr>
            <w:r w:rsidRPr="00EF153E">
              <w:rPr>
                <w:rFonts w:ascii="Times New Roman" w:hAnsi="Times New Roman" w:cs="Times New Roman"/>
                <w:sz w:val="24"/>
                <w:szCs w:val="24"/>
              </w:rPr>
              <w:t>Upto</w:t>
            </w:r>
            <w:r w:rsidR="00EF153E">
              <w:rPr>
                <w:rFonts w:ascii="Times New Roman" w:hAnsi="Times New Roman" w:cs="Times New Roman"/>
                <w:sz w:val="24"/>
                <w:szCs w:val="24"/>
              </w:rPr>
              <w:t xml:space="preserve"> </w:t>
            </w:r>
            <w:r w:rsidR="00EA7270" w:rsidRPr="00EF153E">
              <w:rPr>
                <w:rFonts w:ascii="Times New Roman" w:hAnsi="Times New Roman" w:cs="Times New Roman"/>
                <w:sz w:val="24"/>
                <w:szCs w:val="24"/>
              </w:rPr>
              <w:t>20</w:t>
            </w:r>
            <w:r w:rsidR="00244DC5" w:rsidRPr="00EF153E">
              <w:rPr>
                <w:rFonts w:ascii="Times New Roman" w:hAnsi="Times New Roman" w:cs="Times New Roman"/>
                <w:sz w:val="24"/>
                <w:szCs w:val="24"/>
              </w:rPr>
              <w:t>2</w:t>
            </w:r>
            <w:r w:rsidR="00EB505D">
              <w:rPr>
                <w:rFonts w:ascii="Times New Roman" w:hAnsi="Times New Roman" w:cs="Times New Roman"/>
                <w:sz w:val="24"/>
                <w:szCs w:val="24"/>
              </w:rPr>
              <w:t>1</w:t>
            </w:r>
            <w:r w:rsidR="00244DC5" w:rsidRPr="00EF153E">
              <w:rPr>
                <w:rFonts w:ascii="Times New Roman" w:hAnsi="Times New Roman" w:cs="Times New Roman"/>
                <w:sz w:val="24"/>
                <w:szCs w:val="24"/>
              </w:rPr>
              <w:t>-2</w:t>
            </w:r>
            <w:r w:rsidR="00EB505D">
              <w:rPr>
                <w:rFonts w:ascii="Times New Roman" w:hAnsi="Times New Roman" w:cs="Times New Roman"/>
                <w:sz w:val="24"/>
                <w:szCs w:val="24"/>
              </w:rPr>
              <w:t>2</w:t>
            </w:r>
          </w:p>
        </w:tc>
        <w:tc>
          <w:tcPr>
            <w:tcW w:w="2610" w:type="dxa"/>
            <w:tcBorders>
              <w:top w:val="single" w:sz="4" w:space="0" w:color="auto"/>
              <w:left w:val="single" w:sz="4" w:space="0" w:color="auto"/>
              <w:bottom w:val="single" w:sz="4" w:space="0" w:color="auto"/>
              <w:right w:val="single" w:sz="4" w:space="0" w:color="auto"/>
            </w:tcBorders>
            <w:vAlign w:val="center"/>
          </w:tcPr>
          <w:p w14:paraId="73936766" w14:textId="77777777" w:rsidR="00DA77DD" w:rsidRPr="00EF153E" w:rsidRDefault="00EE0EDB" w:rsidP="00B90901">
            <w:pPr>
              <w:widowControl w:val="0"/>
              <w:autoSpaceDE w:val="0"/>
              <w:autoSpaceDN w:val="0"/>
              <w:spacing w:before="80" w:after="8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1,251</w:t>
            </w:r>
          </w:p>
        </w:tc>
        <w:tc>
          <w:tcPr>
            <w:tcW w:w="3450" w:type="dxa"/>
            <w:tcBorders>
              <w:top w:val="single" w:sz="4" w:space="0" w:color="auto"/>
              <w:left w:val="single" w:sz="4" w:space="0" w:color="auto"/>
              <w:bottom w:val="single" w:sz="4" w:space="0" w:color="auto"/>
              <w:right w:val="single" w:sz="4" w:space="0" w:color="auto"/>
            </w:tcBorders>
            <w:vAlign w:val="center"/>
          </w:tcPr>
          <w:p w14:paraId="78F2A4E5" w14:textId="77777777" w:rsidR="00DA77DD" w:rsidRPr="00EF153E" w:rsidRDefault="00EE0EDB" w:rsidP="00B90901">
            <w:pPr>
              <w:widowControl w:val="0"/>
              <w:autoSpaceDE w:val="0"/>
              <w:autoSpaceDN w:val="0"/>
              <w:spacing w:before="80" w:after="8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2,983.45</w:t>
            </w:r>
          </w:p>
        </w:tc>
      </w:tr>
      <w:tr w:rsidR="00DA77DD" w:rsidRPr="00EF153E" w14:paraId="6FF978F7" w14:textId="77777777" w:rsidTr="00812893">
        <w:trPr>
          <w:jc w:val="center"/>
        </w:trPr>
        <w:tc>
          <w:tcPr>
            <w:tcW w:w="2359" w:type="dxa"/>
            <w:tcBorders>
              <w:top w:val="single" w:sz="4" w:space="0" w:color="auto"/>
              <w:left w:val="single" w:sz="4" w:space="0" w:color="auto"/>
              <w:bottom w:val="single" w:sz="4" w:space="0" w:color="auto"/>
              <w:right w:val="single" w:sz="4" w:space="0" w:color="auto"/>
            </w:tcBorders>
            <w:vAlign w:val="center"/>
          </w:tcPr>
          <w:p w14:paraId="7459C2EC" w14:textId="77777777" w:rsidR="00DA77DD" w:rsidRPr="00EF153E" w:rsidRDefault="00EA7270" w:rsidP="00B90901">
            <w:pPr>
              <w:spacing w:before="80" w:after="80" w:line="276" w:lineRule="auto"/>
              <w:jc w:val="center"/>
              <w:outlineLvl w:val="0"/>
              <w:rPr>
                <w:rFonts w:ascii="Times New Roman" w:hAnsi="Times New Roman" w:cs="Times New Roman"/>
                <w:sz w:val="24"/>
                <w:szCs w:val="24"/>
              </w:rPr>
            </w:pPr>
            <w:r w:rsidRPr="00EF153E">
              <w:rPr>
                <w:rFonts w:ascii="Times New Roman" w:hAnsi="Times New Roman" w:cs="Times New Roman"/>
                <w:sz w:val="24"/>
                <w:szCs w:val="24"/>
              </w:rPr>
              <w:t>202</w:t>
            </w:r>
            <w:r w:rsidR="00EB505D">
              <w:rPr>
                <w:rFonts w:ascii="Times New Roman" w:hAnsi="Times New Roman" w:cs="Times New Roman"/>
                <w:sz w:val="24"/>
                <w:szCs w:val="24"/>
              </w:rPr>
              <w:t>2</w:t>
            </w:r>
            <w:r w:rsidRPr="00EF153E">
              <w:rPr>
                <w:rFonts w:ascii="Times New Roman" w:hAnsi="Times New Roman" w:cs="Times New Roman"/>
                <w:sz w:val="24"/>
                <w:szCs w:val="24"/>
              </w:rPr>
              <w:t>-2</w:t>
            </w:r>
            <w:r w:rsidR="00EB505D">
              <w:rPr>
                <w:rFonts w:ascii="Times New Roman" w:hAnsi="Times New Roman" w:cs="Times New Roman"/>
                <w:sz w:val="24"/>
                <w:szCs w:val="24"/>
              </w:rPr>
              <w:t>3</w:t>
            </w:r>
          </w:p>
        </w:tc>
        <w:tc>
          <w:tcPr>
            <w:tcW w:w="2610" w:type="dxa"/>
            <w:tcBorders>
              <w:top w:val="single" w:sz="4" w:space="0" w:color="auto"/>
              <w:left w:val="single" w:sz="4" w:space="0" w:color="auto"/>
              <w:bottom w:val="single" w:sz="4" w:space="0" w:color="auto"/>
              <w:right w:val="single" w:sz="4" w:space="0" w:color="auto"/>
            </w:tcBorders>
            <w:vAlign w:val="center"/>
          </w:tcPr>
          <w:p w14:paraId="3297CAFA" w14:textId="77777777" w:rsidR="00DA77DD" w:rsidRPr="00EF153E" w:rsidRDefault="00EE0EDB" w:rsidP="00B90901">
            <w:pPr>
              <w:widowControl w:val="0"/>
              <w:autoSpaceDE w:val="0"/>
              <w:autoSpaceDN w:val="0"/>
              <w:spacing w:before="80" w:after="8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421</w:t>
            </w:r>
          </w:p>
        </w:tc>
        <w:tc>
          <w:tcPr>
            <w:tcW w:w="3450" w:type="dxa"/>
            <w:tcBorders>
              <w:top w:val="single" w:sz="4" w:space="0" w:color="auto"/>
              <w:left w:val="single" w:sz="4" w:space="0" w:color="auto"/>
              <w:bottom w:val="single" w:sz="4" w:space="0" w:color="auto"/>
              <w:right w:val="single" w:sz="4" w:space="0" w:color="auto"/>
            </w:tcBorders>
            <w:vAlign w:val="center"/>
          </w:tcPr>
          <w:p w14:paraId="04529A63" w14:textId="77777777" w:rsidR="00DA77DD" w:rsidRPr="00EF153E" w:rsidRDefault="00EE0EDB" w:rsidP="00B90901">
            <w:pPr>
              <w:widowControl w:val="0"/>
              <w:autoSpaceDE w:val="0"/>
              <w:autoSpaceDN w:val="0"/>
              <w:spacing w:before="80" w:after="8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2,310.36</w:t>
            </w:r>
          </w:p>
        </w:tc>
      </w:tr>
      <w:tr w:rsidR="00DA77DD" w:rsidRPr="00EF153E" w14:paraId="3DD733AA" w14:textId="77777777" w:rsidTr="00812893">
        <w:trPr>
          <w:jc w:val="center"/>
        </w:trPr>
        <w:tc>
          <w:tcPr>
            <w:tcW w:w="2359" w:type="dxa"/>
            <w:tcBorders>
              <w:top w:val="single" w:sz="4" w:space="0" w:color="auto"/>
              <w:left w:val="single" w:sz="4" w:space="0" w:color="auto"/>
              <w:bottom w:val="single" w:sz="4" w:space="0" w:color="auto"/>
              <w:right w:val="single" w:sz="4" w:space="0" w:color="auto"/>
            </w:tcBorders>
            <w:vAlign w:val="center"/>
          </w:tcPr>
          <w:p w14:paraId="50A293FD" w14:textId="77777777" w:rsidR="00DA77DD" w:rsidRPr="00EF153E" w:rsidRDefault="00EA7270" w:rsidP="00B90901">
            <w:pPr>
              <w:spacing w:before="80" w:after="8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Total</w:t>
            </w:r>
          </w:p>
        </w:tc>
        <w:tc>
          <w:tcPr>
            <w:tcW w:w="2610" w:type="dxa"/>
            <w:tcBorders>
              <w:top w:val="single" w:sz="4" w:space="0" w:color="auto"/>
              <w:left w:val="single" w:sz="4" w:space="0" w:color="auto"/>
              <w:bottom w:val="single" w:sz="4" w:space="0" w:color="auto"/>
              <w:right w:val="single" w:sz="4" w:space="0" w:color="auto"/>
            </w:tcBorders>
            <w:vAlign w:val="center"/>
          </w:tcPr>
          <w:p w14:paraId="08143F49" w14:textId="77777777" w:rsidR="00DA77DD" w:rsidRPr="00EF153E" w:rsidRDefault="00EE0EDB" w:rsidP="00B90901">
            <w:pPr>
              <w:widowControl w:val="0"/>
              <w:autoSpaceDE w:val="0"/>
              <w:autoSpaceDN w:val="0"/>
              <w:spacing w:before="80" w:after="80" w:line="276" w:lineRule="auto"/>
              <w:ind w:left="260"/>
              <w:jc w:val="center"/>
              <w:outlineLvl w:val="0"/>
              <w:rPr>
                <w:rFonts w:ascii="Times New Roman" w:hAnsi="Times New Roman" w:cs="Times New Roman"/>
                <w:b/>
                <w:bCs/>
                <w:sz w:val="24"/>
                <w:szCs w:val="24"/>
              </w:rPr>
            </w:pPr>
            <w:r>
              <w:rPr>
                <w:rFonts w:ascii="Times New Roman" w:hAnsi="Times New Roman" w:cs="Times New Roman"/>
                <w:b/>
                <w:bCs/>
                <w:sz w:val="24"/>
                <w:szCs w:val="24"/>
              </w:rPr>
              <w:t>1,672</w:t>
            </w:r>
          </w:p>
        </w:tc>
        <w:tc>
          <w:tcPr>
            <w:tcW w:w="3450" w:type="dxa"/>
            <w:tcBorders>
              <w:top w:val="single" w:sz="4" w:space="0" w:color="auto"/>
              <w:left w:val="single" w:sz="4" w:space="0" w:color="auto"/>
              <w:bottom w:val="single" w:sz="4" w:space="0" w:color="auto"/>
              <w:right w:val="single" w:sz="4" w:space="0" w:color="auto"/>
            </w:tcBorders>
            <w:vAlign w:val="center"/>
          </w:tcPr>
          <w:p w14:paraId="0BCC75FD" w14:textId="77777777" w:rsidR="00DA77DD" w:rsidRPr="00EF153E" w:rsidRDefault="00EE0EDB" w:rsidP="00B90901">
            <w:pPr>
              <w:widowControl w:val="0"/>
              <w:autoSpaceDE w:val="0"/>
              <w:autoSpaceDN w:val="0"/>
              <w:spacing w:before="80" w:after="80" w:line="276" w:lineRule="auto"/>
              <w:ind w:left="260"/>
              <w:jc w:val="center"/>
              <w:outlineLvl w:val="0"/>
              <w:rPr>
                <w:rFonts w:ascii="Times New Roman" w:hAnsi="Times New Roman" w:cs="Times New Roman"/>
                <w:b/>
                <w:bCs/>
                <w:sz w:val="24"/>
                <w:szCs w:val="24"/>
              </w:rPr>
            </w:pPr>
            <w:r>
              <w:rPr>
                <w:rFonts w:ascii="Times New Roman" w:hAnsi="Times New Roman" w:cs="Times New Roman"/>
                <w:b/>
                <w:bCs/>
                <w:sz w:val="24"/>
                <w:szCs w:val="24"/>
              </w:rPr>
              <w:t>5,293.81</w:t>
            </w:r>
          </w:p>
        </w:tc>
      </w:tr>
    </w:tbl>
    <w:p w14:paraId="03E5E8EA" w14:textId="74A90BD0" w:rsidR="00E85BD2" w:rsidRPr="000E5CAC" w:rsidRDefault="00E56D87" w:rsidP="002F7576">
      <w:pPr>
        <w:widowControl w:val="0"/>
        <w:autoSpaceDE w:val="0"/>
        <w:autoSpaceDN w:val="0"/>
        <w:adjustRightInd w:val="0"/>
        <w:spacing w:before="240" w:after="240" w:line="240" w:lineRule="auto"/>
        <w:jc w:val="center"/>
        <w:rPr>
          <w:rStyle w:val="Hyperlink"/>
          <w:rFonts w:ascii="Times New Roman" w:hAnsi="Times New Roman" w:cs="Times New Roman"/>
          <w:b/>
          <w:color w:val="auto"/>
          <w:sz w:val="24"/>
          <w:szCs w:val="24"/>
          <w:u w:val="none"/>
        </w:rPr>
      </w:pPr>
      <w:r w:rsidRPr="000E5CAC">
        <w:rPr>
          <w:rStyle w:val="Hyperlink"/>
          <w:rFonts w:ascii="Times New Roman" w:hAnsi="Times New Roman" w:cs="Times New Roman"/>
          <w:b/>
          <w:color w:val="auto"/>
          <w:sz w:val="24"/>
          <w:szCs w:val="24"/>
          <w:u w:val="none"/>
        </w:rPr>
        <w:t xml:space="preserve">Table 4: </w:t>
      </w:r>
      <w:r w:rsidR="00E85BD2" w:rsidRPr="000E5CAC">
        <w:rPr>
          <w:rStyle w:val="Hyperlink"/>
          <w:rFonts w:ascii="Times New Roman" w:hAnsi="Times New Roman" w:cs="Times New Roman"/>
          <w:b/>
          <w:color w:val="auto"/>
          <w:sz w:val="24"/>
          <w:szCs w:val="24"/>
          <w:u w:val="none"/>
        </w:rPr>
        <w:t>Details of unadjusted AC bills as on 31 March 202</w:t>
      </w:r>
      <w:r w:rsidR="006B6DAC">
        <w:rPr>
          <w:rStyle w:val="Hyperlink"/>
          <w:rFonts w:ascii="Times New Roman" w:hAnsi="Times New Roman" w:cs="Times New Roman"/>
          <w:b/>
          <w:color w:val="auto"/>
          <w:sz w:val="24"/>
          <w:szCs w:val="24"/>
          <w:u w:val="none"/>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9"/>
        <w:gridCol w:w="2564"/>
        <w:gridCol w:w="3507"/>
      </w:tblGrid>
      <w:tr w:rsidR="00E85BD2" w:rsidRPr="00EF153E" w14:paraId="3390042A" w14:textId="77777777" w:rsidTr="00812893">
        <w:trPr>
          <w:trHeight w:val="463"/>
          <w:jc w:val="center"/>
        </w:trPr>
        <w:tc>
          <w:tcPr>
            <w:tcW w:w="2359" w:type="dxa"/>
            <w:tcBorders>
              <w:top w:val="single" w:sz="4" w:space="0" w:color="auto"/>
              <w:left w:val="single" w:sz="4" w:space="0" w:color="auto"/>
              <w:bottom w:val="single" w:sz="4" w:space="0" w:color="auto"/>
              <w:right w:val="single" w:sz="4" w:space="0" w:color="auto"/>
            </w:tcBorders>
            <w:shd w:val="clear" w:color="auto" w:fill="D9D9D9"/>
            <w:vAlign w:val="center"/>
          </w:tcPr>
          <w:p w14:paraId="2624F88E" w14:textId="77777777" w:rsidR="00E85BD2" w:rsidRPr="00EF153E" w:rsidRDefault="00E85BD2" w:rsidP="00B90901">
            <w:pPr>
              <w:spacing w:before="80" w:after="8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Year</w:t>
            </w:r>
          </w:p>
        </w:tc>
        <w:tc>
          <w:tcPr>
            <w:tcW w:w="2564" w:type="dxa"/>
            <w:tcBorders>
              <w:top w:val="single" w:sz="4" w:space="0" w:color="auto"/>
              <w:left w:val="single" w:sz="4" w:space="0" w:color="auto"/>
              <w:bottom w:val="single" w:sz="4" w:space="0" w:color="auto"/>
              <w:right w:val="single" w:sz="4" w:space="0" w:color="auto"/>
            </w:tcBorders>
            <w:shd w:val="clear" w:color="auto" w:fill="D9D9D9"/>
            <w:vAlign w:val="center"/>
          </w:tcPr>
          <w:p w14:paraId="7360251E" w14:textId="77777777" w:rsidR="00E85BD2" w:rsidRPr="00EF153E" w:rsidRDefault="00E85BD2" w:rsidP="00B90901">
            <w:pPr>
              <w:spacing w:before="80" w:after="8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No. of unadjusted AC Bills</w:t>
            </w:r>
          </w:p>
        </w:tc>
        <w:tc>
          <w:tcPr>
            <w:tcW w:w="3507" w:type="dxa"/>
            <w:tcBorders>
              <w:top w:val="single" w:sz="4" w:space="0" w:color="auto"/>
              <w:left w:val="single" w:sz="4" w:space="0" w:color="auto"/>
              <w:bottom w:val="single" w:sz="4" w:space="0" w:color="auto"/>
              <w:right w:val="single" w:sz="4" w:space="0" w:color="auto"/>
            </w:tcBorders>
            <w:shd w:val="clear" w:color="auto" w:fill="D9D9D9"/>
            <w:vAlign w:val="center"/>
          </w:tcPr>
          <w:p w14:paraId="4A7CDF51" w14:textId="77777777" w:rsidR="00E85BD2" w:rsidRPr="00EF153E" w:rsidRDefault="00E85BD2" w:rsidP="00B90901">
            <w:pPr>
              <w:spacing w:before="80" w:after="8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Amount (₹</w:t>
            </w:r>
            <w:r>
              <w:rPr>
                <w:rFonts w:ascii="Times New Roman" w:hAnsi="Times New Roman" w:cs="Times New Roman"/>
                <w:b/>
                <w:bCs/>
                <w:sz w:val="24"/>
                <w:szCs w:val="24"/>
              </w:rPr>
              <w:t xml:space="preserve"> </w:t>
            </w:r>
            <w:r w:rsidRPr="00EF153E">
              <w:rPr>
                <w:rFonts w:ascii="Times New Roman" w:hAnsi="Times New Roman" w:cs="Times New Roman"/>
                <w:b/>
                <w:bCs/>
                <w:sz w:val="24"/>
                <w:szCs w:val="24"/>
              </w:rPr>
              <w:t>in crore)</w:t>
            </w:r>
          </w:p>
        </w:tc>
      </w:tr>
      <w:tr w:rsidR="00E85BD2" w:rsidRPr="00EF153E" w14:paraId="0C2BA168" w14:textId="77777777" w:rsidTr="00812893">
        <w:trPr>
          <w:jc w:val="center"/>
        </w:trPr>
        <w:tc>
          <w:tcPr>
            <w:tcW w:w="2359" w:type="dxa"/>
            <w:tcBorders>
              <w:top w:val="single" w:sz="4" w:space="0" w:color="auto"/>
              <w:left w:val="single" w:sz="4" w:space="0" w:color="auto"/>
              <w:bottom w:val="single" w:sz="4" w:space="0" w:color="auto"/>
              <w:right w:val="single" w:sz="4" w:space="0" w:color="auto"/>
            </w:tcBorders>
            <w:vAlign w:val="center"/>
          </w:tcPr>
          <w:p w14:paraId="36FC7BA7" w14:textId="77777777" w:rsidR="00E85BD2" w:rsidRPr="00EF153E" w:rsidRDefault="00E85BD2" w:rsidP="00B90901">
            <w:pPr>
              <w:spacing w:before="80" w:after="80" w:line="276" w:lineRule="auto"/>
              <w:jc w:val="center"/>
              <w:outlineLvl w:val="0"/>
              <w:rPr>
                <w:rFonts w:ascii="Times New Roman" w:hAnsi="Times New Roman" w:cs="Times New Roman"/>
                <w:sz w:val="24"/>
                <w:szCs w:val="24"/>
              </w:rPr>
            </w:pPr>
            <w:r w:rsidRPr="00EF153E">
              <w:rPr>
                <w:rFonts w:ascii="Times New Roman" w:hAnsi="Times New Roman" w:cs="Times New Roman"/>
                <w:sz w:val="24"/>
                <w:szCs w:val="24"/>
              </w:rPr>
              <w:t>Upto</w:t>
            </w:r>
            <w:r>
              <w:rPr>
                <w:rFonts w:ascii="Times New Roman" w:hAnsi="Times New Roman" w:cs="Times New Roman"/>
                <w:sz w:val="24"/>
                <w:szCs w:val="24"/>
              </w:rPr>
              <w:t xml:space="preserve"> </w:t>
            </w:r>
            <w:r w:rsidR="00110B8D">
              <w:rPr>
                <w:rFonts w:ascii="Times New Roman" w:hAnsi="Times New Roman" w:cs="Times New Roman"/>
                <w:sz w:val="24"/>
                <w:szCs w:val="24"/>
              </w:rPr>
              <w:t>2020-21</w:t>
            </w:r>
          </w:p>
        </w:tc>
        <w:tc>
          <w:tcPr>
            <w:tcW w:w="2564" w:type="dxa"/>
            <w:tcBorders>
              <w:top w:val="single" w:sz="4" w:space="0" w:color="auto"/>
              <w:left w:val="single" w:sz="4" w:space="0" w:color="auto"/>
              <w:bottom w:val="single" w:sz="4" w:space="0" w:color="auto"/>
              <w:right w:val="single" w:sz="4" w:space="0" w:color="auto"/>
            </w:tcBorders>
            <w:vAlign w:val="center"/>
          </w:tcPr>
          <w:p w14:paraId="0F207895" w14:textId="77777777" w:rsidR="00E85BD2" w:rsidRPr="00EF153E" w:rsidRDefault="00110B8D" w:rsidP="00B90901">
            <w:pPr>
              <w:widowControl w:val="0"/>
              <w:autoSpaceDE w:val="0"/>
              <w:autoSpaceDN w:val="0"/>
              <w:spacing w:before="80" w:after="8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1,063</w:t>
            </w:r>
          </w:p>
        </w:tc>
        <w:tc>
          <w:tcPr>
            <w:tcW w:w="3507" w:type="dxa"/>
            <w:tcBorders>
              <w:top w:val="single" w:sz="4" w:space="0" w:color="auto"/>
              <w:left w:val="single" w:sz="4" w:space="0" w:color="auto"/>
              <w:bottom w:val="single" w:sz="4" w:space="0" w:color="auto"/>
              <w:right w:val="single" w:sz="4" w:space="0" w:color="auto"/>
            </w:tcBorders>
            <w:vAlign w:val="center"/>
          </w:tcPr>
          <w:p w14:paraId="6BBEA778" w14:textId="77777777" w:rsidR="00E85BD2" w:rsidRPr="00EF153E" w:rsidRDefault="00110B8D" w:rsidP="00B90901">
            <w:pPr>
              <w:widowControl w:val="0"/>
              <w:autoSpaceDE w:val="0"/>
              <w:autoSpaceDN w:val="0"/>
              <w:spacing w:before="80" w:after="8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1,970.35</w:t>
            </w:r>
          </w:p>
        </w:tc>
      </w:tr>
      <w:tr w:rsidR="00E85BD2" w:rsidRPr="00EF153E" w14:paraId="25A35862" w14:textId="77777777" w:rsidTr="00812893">
        <w:trPr>
          <w:jc w:val="center"/>
        </w:trPr>
        <w:tc>
          <w:tcPr>
            <w:tcW w:w="2359" w:type="dxa"/>
            <w:tcBorders>
              <w:top w:val="single" w:sz="4" w:space="0" w:color="auto"/>
              <w:left w:val="single" w:sz="4" w:space="0" w:color="auto"/>
              <w:bottom w:val="single" w:sz="4" w:space="0" w:color="auto"/>
              <w:right w:val="single" w:sz="4" w:space="0" w:color="auto"/>
            </w:tcBorders>
            <w:vAlign w:val="center"/>
          </w:tcPr>
          <w:p w14:paraId="00DBBB2C" w14:textId="77777777" w:rsidR="00E85BD2" w:rsidRPr="00E85BD2" w:rsidRDefault="00E85BD2" w:rsidP="00B90901">
            <w:pPr>
              <w:spacing w:before="80" w:after="80" w:line="276" w:lineRule="auto"/>
              <w:jc w:val="center"/>
              <w:outlineLvl w:val="0"/>
              <w:rPr>
                <w:rFonts w:ascii="Times New Roman" w:hAnsi="Times New Roman" w:cs="Times New Roman"/>
                <w:bCs/>
                <w:sz w:val="24"/>
                <w:szCs w:val="24"/>
              </w:rPr>
            </w:pPr>
            <w:r w:rsidRPr="00E85BD2">
              <w:rPr>
                <w:rFonts w:ascii="Times New Roman" w:hAnsi="Times New Roman" w:cs="Times New Roman"/>
                <w:bCs/>
                <w:sz w:val="24"/>
                <w:szCs w:val="24"/>
              </w:rPr>
              <w:t>202</w:t>
            </w:r>
            <w:r w:rsidR="00110B8D">
              <w:rPr>
                <w:rFonts w:ascii="Times New Roman" w:hAnsi="Times New Roman" w:cs="Times New Roman"/>
                <w:bCs/>
                <w:sz w:val="24"/>
                <w:szCs w:val="24"/>
              </w:rPr>
              <w:t>1</w:t>
            </w:r>
            <w:r w:rsidRPr="00E85BD2">
              <w:rPr>
                <w:rFonts w:ascii="Times New Roman" w:hAnsi="Times New Roman" w:cs="Times New Roman"/>
                <w:bCs/>
                <w:sz w:val="24"/>
                <w:szCs w:val="24"/>
              </w:rPr>
              <w:t>-2</w:t>
            </w:r>
            <w:r w:rsidR="00110B8D">
              <w:rPr>
                <w:rFonts w:ascii="Times New Roman" w:hAnsi="Times New Roman" w:cs="Times New Roman"/>
                <w:bCs/>
                <w:sz w:val="24"/>
                <w:szCs w:val="24"/>
              </w:rPr>
              <w:t>2</w:t>
            </w:r>
          </w:p>
        </w:tc>
        <w:tc>
          <w:tcPr>
            <w:tcW w:w="2564" w:type="dxa"/>
            <w:tcBorders>
              <w:top w:val="single" w:sz="4" w:space="0" w:color="auto"/>
              <w:left w:val="single" w:sz="4" w:space="0" w:color="auto"/>
              <w:bottom w:val="single" w:sz="4" w:space="0" w:color="auto"/>
              <w:right w:val="single" w:sz="4" w:space="0" w:color="auto"/>
            </w:tcBorders>
            <w:vAlign w:val="center"/>
          </w:tcPr>
          <w:p w14:paraId="08A836CB" w14:textId="77777777" w:rsidR="00E85BD2" w:rsidRPr="00E85BD2" w:rsidRDefault="00110B8D" w:rsidP="00B90901">
            <w:pPr>
              <w:widowControl w:val="0"/>
              <w:autoSpaceDE w:val="0"/>
              <w:autoSpaceDN w:val="0"/>
              <w:spacing w:before="80" w:after="80" w:line="276" w:lineRule="auto"/>
              <w:ind w:left="260"/>
              <w:jc w:val="center"/>
              <w:outlineLvl w:val="0"/>
              <w:rPr>
                <w:rFonts w:ascii="Times New Roman" w:hAnsi="Times New Roman" w:cs="Times New Roman"/>
                <w:bCs/>
                <w:sz w:val="24"/>
                <w:szCs w:val="24"/>
              </w:rPr>
            </w:pPr>
            <w:r>
              <w:rPr>
                <w:rFonts w:ascii="Times New Roman" w:hAnsi="Times New Roman" w:cs="Times New Roman"/>
                <w:bCs/>
                <w:sz w:val="24"/>
                <w:szCs w:val="24"/>
              </w:rPr>
              <w:t>219</w:t>
            </w:r>
          </w:p>
        </w:tc>
        <w:tc>
          <w:tcPr>
            <w:tcW w:w="3507" w:type="dxa"/>
            <w:tcBorders>
              <w:top w:val="single" w:sz="4" w:space="0" w:color="auto"/>
              <w:left w:val="single" w:sz="4" w:space="0" w:color="auto"/>
              <w:bottom w:val="single" w:sz="4" w:space="0" w:color="auto"/>
              <w:right w:val="single" w:sz="4" w:space="0" w:color="auto"/>
            </w:tcBorders>
            <w:vAlign w:val="center"/>
          </w:tcPr>
          <w:p w14:paraId="384AB8E1" w14:textId="77777777" w:rsidR="00E85BD2" w:rsidRPr="00E85BD2" w:rsidRDefault="00110B8D" w:rsidP="00B90901">
            <w:pPr>
              <w:widowControl w:val="0"/>
              <w:autoSpaceDE w:val="0"/>
              <w:autoSpaceDN w:val="0"/>
              <w:spacing w:before="80" w:after="80" w:line="276" w:lineRule="auto"/>
              <w:ind w:left="260"/>
              <w:jc w:val="center"/>
              <w:outlineLvl w:val="0"/>
              <w:rPr>
                <w:rFonts w:ascii="Times New Roman" w:hAnsi="Times New Roman" w:cs="Times New Roman"/>
                <w:bCs/>
                <w:sz w:val="24"/>
                <w:szCs w:val="24"/>
              </w:rPr>
            </w:pPr>
            <w:r>
              <w:rPr>
                <w:rFonts w:ascii="Times New Roman" w:hAnsi="Times New Roman" w:cs="Times New Roman"/>
                <w:bCs/>
                <w:sz w:val="24"/>
                <w:szCs w:val="24"/>
              </w:rPr>
              <w:t>1,165.32</w:t>
            </w:r>
          </w:p>
        </w:tc>
      </w:tr>
      <w:tr w:rsidR="00E85BD2" w:rsidRPr="00EF153E" w14:paraId="43E0D13D" w14:textId="77777777" w:rsidTr="00812893">
        <w:trPr>
          <w:jc w:val="center"/>
        </w:trPr>
        <w:tc>
          <w:tcPr>
            <w:tcW w:w="2359" w:type="dxa"/>
            <w:tcBorders>
              <w:top w:val="single" w:sz="4" w:space="0" w:color="auto"/>
              <w:left w:val="single" w:sz="4" w:space="0" w:color="auto"/>
              <w:bottom w:val="single" w:sz="4" w:space="0" w:color="auto"/>
              <w:right w:val="single" w:sz="4" w:space="0" w:color="auto"/>
            </w:tcBorders>
            <w:vAlign w:val="center"/>
          </w:tcPr>
          <w:p w14:paraId="06827216" w14:textId="77777777" w:rsidR="00E85BD2" w:rsidRPr="00EF153E" w:rsidRDefault="00E85BD2" w:rsidP="00B90901">
            <w:pPr>
              <w:spacing w:before="80" w:after="8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Total</w:t>
            </w:r>
          </w:p>
        </w:tc>
        <w:tc>
          <w:tcPr>
            <w:tcW w:w="2564" w:type="dxa"/>
            <w:tcBorders>
              <w:top w:val="single" w:sz="4" w:space="0" w:color="auto"/>
              <w:left w:val="single" w:sz="4" w:space="0" w:color="auto"/>
              <w:bottom w:val="single" w:sz="4" w:space="0" w:color="auto"/>
              <w:right w:val="single" w:sz="4" w:space="0" w:color="auto"/>
            </w:tcBorders>
            <w:vAlign w:val="center"/>
          </w:tcPr>
          <w:p w14:paraId="555F583C" w14:textId="77777777" w:rsidR="00E85BD2" w:rsidRPr="00EF153E" w:rsidRDefault="00110B8D" w:rsidP="00B90901">
            <w:pPr>
              <w:widowControl w:val="0"/>
              <w:autoSpaceDE w:val="0"/>
              <w:autoSpaceDN w:val="0"/>
              <w:spacing w:before="80" w:after="80" w:line="276" w:lineRule="auto"/>
              <w:ind w:left="260"/>
              <w:jc w:val="center"/>
              <w:outlineLvl w:val="0"/>
              <w:rPr>
                <w:rFonts w:ascii="Times New Roman" w:hAnsi="Times New Roman" w:cs="Times New Roman"/>
                <w:b/>
                <w:bCs/>
                <w:sz w:val="24"/>
                <w:szCs w:val="24"/>
              </w:rPr>
            </w:pPr>
            <w:r>
              <w:rPr>
                <w:rFonts w:ascii="Times New Roman" w:hAnsi="Times New Roman" w:cs="Times New Roman"/>
                <w:b/>
                <w:bCs/>
                <w:sz w:val="24"/>
                <w:szCs w:val="24"/>
              </w:rPr>
              <w:t>1,282</w:t>
            </w:r>
          </w:p>
        </w:tc>
        <w:tc>
          <w:tcPr>
            <w:tcW w:w="3507" w:type="dxa"/>
            <w:tcBorders>
              <w:top w:val="single" w:sz="4" w:space="0" w:color="auto"/>
              <w:left w:val="single" w:sz="4" w:space="0" w:color="auto"/>
              <w:bottom w:val="single" w:sz="4" w:space="0" w:color="auto"/>
              <w:right w:val="single" w:sz="4" w:space="0" w:color="auto"/>
            </w:tcBorders>
            <w:vAlign w:val="center"/>
          </w:tcPr>
          <w:p w14:paraId="45C8D003" w14:textId="77777777" w:rsidR="00E85BD2" w:rsidRPr="00EF153E" w:rsidRDefault="00110B8D" w:rsidP="00B90901">
            <w:pPr>
              <w:widowControl w:val="0"/>
              <w:autoSpaceDE w:val="0"/>
              <w:autoSpaceDN w:val="0"/>
              <w:spacing w:before="80" w:after="80" w:line="276" w:lineRule="auto"/>
              <w:ind w:left="260"/>
              <w:jc w:val="center"/>
              <w:outlineLvl w:val="0"/>
              <w:rPr>
                <w:rFonts w:ascii="Times New Roman" w:hAnsi="Times New Roman" w:cs="Times New Roman"/>
                <w:b/>
                <w:bCs/>
                <w:sz w:val="24"/>
                <w:szCs w:val="24"/>
              </w:rPr>
            </w:pPr>
            <w:r>
              <w:rPr>
                <w:rFonts w:ascii="Times New Roman" w:hAnsi="Times New Roman" w:cs="Times New Roman"/>
                <w:b/>
                <w:bCs/>
                <w:sz w:val="24"/>
                <w:szCs w:val="24"/>
              </w:rPr>
              <w:t>3,135.67</w:t>
            </w:r>
          </w:p>
        </w:tc>
      </w:tr>
    </w:tbl>
    <w:p w14:paraId="22C7FC4F" w14:textId="77777777" w:rsidR="003349E0" w:rsidRPr="003349E0" w:rsidRDefault="003349E0" w:rsidP="00B90901">
      <w:pPr>
        <w:pStyle w:val="ListParagraph"/>
        <w:widowControl w:val="0"/>
        <w:numPr>
          <w:ilvl w:val="0"/>
          <w:numId w:val="20"/>
        </w:numPr>
        <w:autoSpaceDE w:val="0"/>
        <w:autoSpaceDN w:val="0"/>
        <w:adjustRightInd w:val="0"/>
        <w:spacing w:before="240" w:after="240" w:line="288" w:lineRule="auto"/>
        <w:ind w:left="426" w:hanging="284"/>
        <w:contextualSpacing w:val="0"/>
        <w:jc w:val="both"/>
        <w:rPr>
          <w:rFonts w:ascii="Times New Roman" w:hAnsi="Times New Roman" w:cs="Times New Roman"/>
          <w:b/>
          <w:sz w:val="24"/>
          <w:szCs w:val="24"/>
        </w:rPr>
      </w:pPr>
      <w:r w:rsidRPr="003349E0">
        <w:rPr>
          <w:rFonts w:ascii="Times New Roman" w:hAnsi="Times New Roman" w:cs="Times New Roman"/>
          <w:b/>
          <w:sz w:val="24"/>
          <w:szCs w:val="24"/>
        </w:rPr>
        <w:t>Utilisation Certificates (UCs) for Grants-in-Aid not received:</w:t>
      </w:r>
    </w:p>
    <w:p w14:paraId="6D2732CC" w14:textId="77777777" w:rsidR="00DA77DD" w:rsidRDefault="00EA7270" w:rsidP="00275400">
      <w:pPr>
        <w:pStyle w:val="ListParagraph"/>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85BD2">
        <w:rPr>
          <w:rFonts w:ascii="Times New Roman" w:hAnsi="Times New Roman" w:cs="Times New Roman"/>
          <w:sz w:val="24"/>
          <w:szCs w:val="24"/>
        </w:rPr>
        <w:t xml:space="preserve">In terms of Rules </w:t>
      </w:r>
      <w:r w:rsidR="003442AC" w:rsidRPr="00E85BD2">
        <w:rPr>
          <w:rFonts w:ascii="Times New Roman" w:hAnsi="Times New Roman" w:cs="Times New Roman"/>
          <w:sz w:val="24"/>
          <w:szCs w:val="24"/>
        </w:rPr>
        <w:t>238 (</w:t>
      </w:r>
      <w:r w:rsidR="00106575" w:rsidRPr="00E85BD2">
        <w:rPr>
          <w:rFonts w:ascii="Times New Roman" w:hAnsi="Times New Roman" w:cs="Times New Roman"/>
          <w:sz w:val="24"/>
          <w:szCs w:val="24"/>
        </w:rPr>
        <w:t>1</w:t>
      </w:r>
      <w:r w:rsidR="003442AC" w:rsidRPr="00E85BD2">
        <w:rPr>
          <w:rFonts w:ascii="Times New Roman" w:hAnsi="Times New Roman" w:cs="Times New Roman"/>
          <w:sz w:val="24"/>
          <w:szCs w:val="24"/>
        </w:rPr>
        <w:t xml:space="preserve">) </w:t>
      </w:r>
      <w:r w:rsidRPr="00E85BD2">
        <w:rPr>
          <w:rFonts w:ascii="Times New Roman" w:hAnsi="Times New Roman" w:cs="Times New Roman"/>
          <w:sz w:val="24"/>
          <w:szCs w:val="24"/>
        </w:rPr>
        <w:t xml:space="preserve">of the </w:t>
      </w:r>
      <w:r w:rsidR="003442AC" w:rsidRPr="00E85BD2">
        <w:rPr>
          <w:rFonts w:ascii="Times New Roman" w:hAnsi="Times New Roman" w:cs="Times New Roman"/>
          <w:sz w:val="24"/>
          <w:szCs w:val="24"/>
        </w:rPr>
        <w:t>GFR 2017 as adopted by the Government of Manipur</w:t>
      </w:r>
      <w:r w:rsidRPr="00E85BD2">
        <w:rPr>
          <w:rFonts w:ascii="Times New Roman" w:hAnsi="Times New Roman" w:cs="Times New Roman"/>
          <w:sz w:val="24"/>
          <w:szCs w:val="24"/>
        </w:rPr>
        <w:t xml:space="preserve">, Utilization Certificates (UCs) in respect of Grants-in-Aid received by the grantee should be furnished by the grantee to the authority that sanctioned it, within </w:t>
      </w:r>
      <w:r w:rsidR="003442AC" w:rsidRPr="00E85BD2">
        <w:rPr>
          <w:rFonts w:ascii="Times New Roman" w:hAnsi="Times New Roman" w:cs="Times New Roman"/>
          <w:sz w:val="24"/>
          <w:szCs w:val="24"/>
        </w:rPr>
        <w:t xml:space="preserve">12 </w:t>
      </w:r>
      <w:r w:rsidRPr="00E85BD2">
        <w:rPr>
          <w:rFonts w:ascii="Times New Roman" w:hAnsi="Times New Roman" w:cs="Times New Roman"/>
          <w:sz w:val="24"/>
          <w:szCs w:val="24"/>
        </w:rPr>
        <w:t xml:space="preserve">months </w:t>
      </w:r>
      <w:r w:rsidR="00106575" w:rsidRPr="00E85BD2">
        <w:rPr>
          <w:rFonts w:ascii="Times New Roman" w:hAnsi="Times New Roman" w:cs="Times New Roman"/>
          <w:sz w:val="24"/>
          <w:szCs w:val="24"/>
        </w:rPr>
        <w:t>of</w:t>
      </w:r>
      <w:r w:rsidRPr="00E85BD2">
        <w:rPr>
          <w:rFonts w:ascii="Times New Roman" w:hAnsi="Times New Roman" w:cs="Times New Roman"/>
          <w:sz w:val="24"/>
          <w:szCs w:val="24"/>
        </w:rPr>
        <w:t xml:space="preserve"> the</w:t>
      </w:r>
      <w:r w:rsidR="00106575" w:rsidRPr="00E85BD2">
        <w:rPr>
          <w:rFonts w:ascii="Times New Roman" w:hAnsi="Times New Roman" w:cs="Times New Roman"/>
          <w:sz w:val="24"/>
          <w:szCs w:val="24"/>
        </w:rPr>
        <w:t xml:space="preserve"> closure of the financial year</w:t>
      </w:r>
      <w:r w:rsidR="0027288F" w:rsidRPr="00E85BD2">
        <w:rPr>
          <w:rFonts w:ascii="Times New Roman" w:hAnsi="Times New Roman" w:cs="Times New Roman"/>
          <w:sz w:val="24"/>
          <w:szCs w:val="24"/>
        </w:rPr>
        <w:t>.</w:t>
      </w:r>
      <w:r w:rsidRPr="00E85BD2">
        <w:rPr>
          <w:rFonts w:ascii="Times New Roman" w:hAnsi="Times New Roman" w:cs="Times New Roman"/>
          <w:sz w:val="24"/>
          <w:szCs w:val="24"/>
        </w:rPr>
        <w:t xml:space="preserve"> To the extent of non-submission of UCs, there is </w:t>
      </w:r>
      <w:r w:rsidR="00B27FAF" w:rsidRPr="00E85BD2">
        <w:rPr>
          <w:rFonts w:ascii="Times New Roman" w:hAnsi="Times New Roman" w:cs="Times New Roman"/>
          <w:sz w:val="24"/>
          <w:szCs w:val="24"/>
        </w:rPr>
        <w:t>a risk that</w:t>
      </w:r>
      <w:r w:rsidRPr="00E85BD2">
        <w:rPr>
          <w:rFonts w:ascii="Times New Roman" w:hAnsi="Times New Roman" w:cs="Times New Roman"/>
          <w:sz w:val="24"/>
          <w:szCs w:val="24"/>
        </w:rPr>
        <w:t xml:space="preserve"> the amount shown in Finance Accounts </w:t>
      </w:r>
      <w:r w:rsidR="00B27FAF" w:rsidRPr="00E85BD2">
        <w:rPr>
          <w:rFonts w:ascii="Times New Roman" w:hAnsi="Times New Roman" w:cs="Times New Roman"/>
          <w:sz w:val="24"/>
          <w:szCs w:val="24"/>
        </w:rPr>
        <w:t xml:space="preserve">may not have </w:t>
      </w:r>
      <w:r w:rsidRPr="00E85BD2">
        <w:rPr>
          <w:rFonts w:ascii="Times New Roman" w:hAnsi="Times New Roman" w:cs="Times New Roman"/>
          <w:sz w:val="24"/>
          <w:szCs w:val="24"/>
        </w:rPr>
        <w:t>reached</w:t>
      </w:r>
      <w:r w:rsidR="00AE5FA9" w:rsidRPr="00E85BD2">
        <w:rPr>
          <w:rFonts w:ascii="Times New Roman" w:hAnsi="Times New Roman" w:cs="Times New Roman"/>
          <w:sz w:val="24"/>
          <w:szCs w:val="24"/>
        </w:rPr>
        <w:t xml:space="preserve"> </w:t>
      </w:r>
      <w:r w:rsidRPr="00E85BD2">
        <w:rPr>
          <w:rFonts w:ascii="Times New Roman" w:hAnsi="Times New Roman" w:cs="Times New Roman"/>
          <w:sz w:val="24"/>
          <w:szCs w:val="24"/>
        </w:rPr>
        <w:t>the beneficiaries.</w:t>
      </w:r>
    </w:p>
    <w:p w14:paraId="59AE8484" w14:textId="77777777" w:rsidR="00B90901" w:rsidRDefault="00B90901" w:rsidP="00275400">
      <w:pPr>
        <w:pStyle w:val="ListParagraph"/>
        <w:widowControl w:val="0"/>
        <w:autoSpaceDE w:val="0"/>
        <w:autoSpaceDN w:val="0"/>
        <w:adjustRightInd w:val="0"/>
        <w:spacing w:before="120" w:after="120" w:line="288" w:lineRule="auto"/>
        <w:ind w:left="360"/>
        <w:jc w:val="both"/>
        <w:rPr>
          <w:rFonts w:ascii="Times New Roman" w:hAnsi="Times New Roman" w:cs="Times New Roman"/>
          <w:sz w:val="24"/>
          <w:szCs w:val="24"/>
        </w:rPr>
      </w:pPr>
    </w:p>
    <w:p w14:paraId="171E9B31" w14:textId="77777777" w:rsidR="00B90901" w:rsidRPr="00E85BD2" w:rsidRDefault="00B90901" w:rsidP="00275400">
      <w:pPr>
        <w:pStyle w:val="ListParagraph"/>
        <w:widowControl w:val="0"/>
        <w:autoSpaceDE w:val="0"/>
        <w:autoSpaceDN w:val="0"/>
        <w:adjustRightInd w:val="0"/>
        <w:spacing w:before="120" w:after="120" w:line="288" w:lineRule="auto"/>
        <w:ind w:left="360"/>
        <w:jc w:val="both"/>
        <w:rPr>
          <w:rFonts w:ascii="Times New Roman" w:hAnsi="Times New Roman" w:cs="Times New Roman"/>
          <w:sz w:val="24"/>
          <w:szCs w:val="24"/>
        </w:rPr>
      </w:pPr>
    </w:p>
    <w:p w14:paraId="0544B831" w14:textId="4E2D9417" w:rsidR="003D147A" w:rsidRDefault="003D147A" w:rsidP="00B90901">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lastRenderedPageBreak/>
        <w:t>During the year 202</w:t>
      </w:r>
      <w:r>
        <w:rPr>
          <w:rFonts w:ascii="Times New Roman" w:hAnsi="Times New Roman" w:cs="Times New Roman"/>
          <w:sz w:val="24"/>
          <w:szCs w:val="24"/>
        </w:rPr>
        <w:t>2</w:t>
      </w:r>
      <w:r w:rsidRPr="00EF153E">
        <w:rPr>
          <w:rFonts w:ascii="Times New Roman" w:hAnsi="Times New Roman" w:cs="Times New Roman"/>
          <w:sz w:val="24"/>
          <w:szCs w:val="24"/>
        </w:rPr>
        <w:t>-2</w:t>
      </w:r>
      <w:r>
        <w:rPr>
          <w:rFonts w:ascii="Times New Roman" w:hAnsi="Times New Roman" w:cs="Times New Roman"/>
          <w:sz w:val="24"/>
          <w:szCs w:val="24"/>
        </w:rPr>
        <w:t>3</w:t>
      </w:r>
      <w:r w:rsidRPr="00EF153E">
        <w:rPr>
          <w:rFonts w:ascii="Times New Roman" w:hAnsi="Times New Roman" w:cs="Times New Roman"/>
          <w:sz w:val="24"/>
          <w:szCs w:val="24"/>
        </w:rPr>
        <w:t xml:space="preserve">, </w:t>
      </w:r>
      <w:r w:rsidRPr="00CC2D20">
        <w:rPr>
          <w:rFonts w:ascii="Times New Roman" w:hAnsi="Times New Roman" w:cs="Times New Roman"/>
          <w:sz w:val="24"/>
          <w:szCs w:val="24"/>
        </w:rPr>
        <w:t>₹</w:t>
      </w:r>
      <w:r w:rsidR="008C46F3">
        <w:rPr>
          <w:rFonts w:ascii="Times New Roman" w:hAnsi="Times New Roman" w:cs="Times New Roman"/>
          <w:sz w:val="24"/>
          <w:szCs w:val="24"/>
        </w:rPr>
        <w:t>3,573</w:t>
      </w:r>
      <w:r w:rsidRPr="00CC2D20">
        <w:rPr>
          <w:rFonts w:ascii="Times New Roman" w:hAnsi="Times New Roman" w:cs="Times New Roman"/>
          <w:sz w:val="24"/>
          <w:szCs w:val="24"/>
        </w:rPr>
        <w:t>.</w:t>
      </w:r>
      <w:r w:rsidR="008C46F3">
        <w:rPr>
          <w:rFonts w:ascii="Times New Roman" w:hAnsi="Times New Roman" w:cs="Times New Roman"/>
          <w:sz w:val="24"/>
          <w:szCs w:val="24"/>
        </w:rPr>
        <w:t>5</w:t>
      </w:r>
      <w:r w:rsidRPr="00CC2D20">
        <w:rPr>
          <w:rFonts w:ascii="Times New Roman" w:hAnsi="Times New Roman" w:cs="Times New Roman"/>
          <w:sz w:val="24"/>
          <w:szCs w:val="24"/>
        </w:rPr>
        <w:t>5</w:t>
      </w:r>
      <w:r w:rsidRPr="00EF153E">
        <w:rPr>
          <w:rFonts w:ascii="Times New Roman" w:hAnsi="Times New Roman" w:cs="Times New Roman"/>
          <w:sz w:val="24"/>
          <w:szCs w:val="24"/>
        </w:rPr>
        <w:t xml:space="preserve"> crore pertaining to </w:t>
      </w:r>
      <w:r w:rsidR="008C46F3">
        <w:rPr>
          <w:rFonts w:ascii="Times New Roman" w:hAnsi="Times New Roman" w:cs="Times New Roman"/>
          <w:sz w:val="24"/>
          <w:szCs w:val="24"/>
        </w:rPr>
        <w:t xml:space="preserve">3466 </w:t>
      </w:r>
      <w:r w:rsidRPr="00EF153E">
        <w:rPr>
          <w:rFonts w:ascii="Times New Roman" w:hAnsi="Times New Roman" w:cs="Times New Roman"/>
          <w:sz w:val="24"/>
          <w:szCs w:val="24"/>
        </w:rPr>
        <w:t xml:space="preserve">outstanding UCs </w:t>
      </w:r>
      <w:r w:rsidR="008C46F3">
        <w:rPr>
          <w:rFonts w:ascii="Times New Roman" w:hAnsi="Times New Roman" w:cs="Times New Roman"/>
          <w:sz w:val="24"/>
          <w:szCs w:val="24"/>
        </w:rPr>
        <w:t>of previous years was cleared which includes 744 UCs which were drawn in 202</w:t>
      </w:r>
      <w:r w:rsidR="00D67317">
        <w:rPr>
          <w:rFonts w:ascii="Times New Roman" w:hAnsi="Times New Roman" w:cs="Times New Roman"/>
          <w:sz w:val="24"/>
          <w:szCs w:val="24"/>
        </w:rPr>
        <w:t>1</w:t>
      </w:r>
      <w:r w:rsidR="008C46F3">
        <w:rPr>
          <w:rFonts w:ascii="Times New Roman" w:hAnsi="Times New Roman" w:cs="Times New Roman"/>
          <w:sz w:val="24"/>
          <w:szCs w:val="24"/>
        </w:rPr>
        <w:t>-2</w:t>
      </w:r>
      <w:r w:rsidR="00D67317">
        <w:rPr>
          <w:rFonts w:ascii="Times New Roman" w:hAnsi="Times New Roman" w:cs="Times New Roman"/>
          <w:sz w:val="24"/>
          <w:szCs w:val="24"/>
        </w:rPr>
        <w:t>2</w:t>
      </w:r>
      <w:r w:rsidR="008C46F3">
        <w:rPr>
          <w:rFonts w:ascii="Times New Roman" w:hAnsi="Times New Roman" w:cs="Times New Roman"/>
          <w:sz w:val="24"/>
          <w:szCs w:val="24"/>
        </w:rPr>
        <w:t xml:space="preserve">. </w:t>
      </w:r>
      <w:r w:rsidRPr="00EF153E">
        <w:rPr>
          <w:rFonts w:ascii="Times New Roman" w:hAnsi="Times New Roman" w:cs="Times New Roman"/>
          <w:sz w:val="24"/>
          <w:szCs w:val="24"/>
        </w:rPr>
        <w:t>The position of outstanding UCs as on 31.03.202</w:t>
      </w:r>
      <w:r>
        <w:rPr>
          <w:rFonts w:ascii="Times New Roman" w:hAnsi="Times New Roman" w:cs="Times New Roman"/>
          <w:sz w:val="24"/>
          <w:szCs w:val="24"/>
        </w:rPr>
        <w:t>3</w:t>
      </w:r>
      <w:r w:rsidRPr="00EF153E">
        <w:rPr>
          <w:rFonts w:ascii="Times New Roman" w:hAnsi="Times New Roman" w:cs="Times New Roman"/>
          <w:sz w:val="24"/>
          <w:szCs w:val="24"/>
        </w:rPr>
        <w:t xml:space="preserve"> is given below:</w:t>
      </w:r>
      <w:r w:rsidRPr="005C6138">
        <w:rPr>
          <w:rFonts w:ascii="Times New Roman" w:hAnsi="Times New Roman" w:cs="Times New Roman"/>
          <w:sz w:val="24"/>
          <w:szCs w:val="24"/>
        </w:rPr>
        <w:t xml:space="preserve"> </w:t>
      </w:r>
    </w:p>
    <w:p w14:paraId="5E893170" w14:textId="02BD77D2" w:rsidR="00E56D87" w:rsidRPr="000E5CAC" w:rsidRDefault="00E56D87" w:rsidP="002F7576">
      <w:pPr>
        <w:widowControl w:val="0"/>
        <w:autoSpaceDE w:val="0"/>
        <w:autoSpaceDN w:val="0"/>
        <w:adjustRightInd w:val="0"/>
        <w:spacing w:before="240" w:after="240" w:line="240" w:lineRule="auto"/>
        <w:jc w:val="center"/>
        <w:rPr>
          <w:rFonts w:ascii="Times New Roman" w:hAnsi="Times New Roman" w:cs="Times New Roman"/>
          <w:b/>
          <w:sz w:val="24"/>
          <w:szCs w:val="24"/>
        </w:rPr>
      </w:pPr>
      <w:r w:rsidRPr="000E5CAC">
        <w:rPr>
          <w:rFonts w:ascii="Times New Roman" w:hAnsi="Times New Roman" w:cs="Times New Roman"/>
          <w:b/>
          <w:sz w:val="24"/>
          <w:szCs w:val="24"/>
        </w:rPr>
        <w:t>Table 5</w:t>
      </w:r>
      <w:r w:rsidR="000E5CAC" w:rsidRPr="000E5CAC">
        <w:rPr>
          <w:rFonts w:ascii="Times New Roman" w:hAnsi="Times New Roman" w:cs="Times New Roman"/>
          <w:b/>
          <w:sz w:val="24"/>
          <w:szCs w:val="24"/>
        </w:rPr>
        <w:t xml:space="preserve">: </w:t>
      </w:r>
      <w:r w:rsidR="00680925">
        <w:rPr>
          <w:rFonts w:ascii="Times New Roman" w:hAnsi="Times New Roman" w:cs="Times New Roman"/>
          <w:b/>
          <w:sz w:val="24"/>
          <w:szCs w:val="24"/>
        </w:rPr>
        <w:t>P</w:t>
      </w:r>
      <w:r w:rsidR="000E5CAC" w:rsidRPr="000E5CAC">
        <w:rPr>
          <w:rFonts w:ascii="Times New Roman" w:hAnsi="Times New Roman" w:cs="Times New Roman"/>
          <w:b/>
          <w:sz w:val="24"/>
          <w:szCs w:val="24"/>
        </w:rPr>
        <w:t>osition of outstanding UCs as on 31.03.202</w:t>
      </w:r>
      <w:r w:rsidR="006B6DAC">
        <w:rPr>
          <w:rFonts w:ascii="Times New Roman" w:hAnsi="Times New Roman" w:cs="Times New Roman"/>
          <w:b/>
          <w:sz w:val="24"/>
          <w:szCs w:val="24"/>
        </w:rPr>
        <w:t>3</w:t>
      </w:r>
    </w:p>
    <w:tbl>
      <w:tblPr>
        <w:tblW w:w="4693"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3"/>
        <w:gridCol w:w="3227"/>
        <w:gridCol w:w="3037"/>
      </w:tblGrid>
      <w:tr w:rsidR="00DA77DD" w:rsidRPr="00EF153E" w14:paraId="21007DA5" w14:textId="77777777" w:rsidTr="001072AB">
        <w:trPr>
          <w:jc w:val="right"/>
        </w:trPr>
        <w:tc>
          <w:tcPr>
            <w:tcW w:w="1275" w:type="pct"/>
            <w:tcBorders>
              <w:top w:val="single" w:sz="4" w:space="0" w:color="auto"/>
              <w:left w:val="single" w:sz="4" w:space="0" w:color="auto"/>
              <w:bottom w:val="single" w:sz="4" w:space="0" w:color="auto"/>
              <w:right w:val="single" w:sz="4" w:space="0" w:color="auto"/>
            </w:tcBorders>
            <w:shd w:val="clear" w:color="auto" w:fill="D9D9D9"/>
            <w:hideMark/>
          </w:tcPr>
          <w:p w14:paraId="503A7FEF" w14:textId="77777777" w:rsidR="00DA77DD" w:rsidRPr="00EF153E" w:rsidRDefault="00EA7270" w:rsidP="00442795">
            <w:pPr>
              <w:spacing w:before="120" w:after="120" w:line="240"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Year*</w:t>
            </w:r>
          </w:p>
        </w:tc>
        <w:tc>
          <w:tcPr>
            <w:tcW w:w="1919" w:type="pct"/>
            <w:tcBorders>
              <w:top w:val="single" w:sz="4" w:space="0" w:color="auto"/>
              <w:left w:val="single" w:sz="4" w:space="0" w:color="auto"/>
              <w:bottom w:val="single" w:sz="4" w:space="0" w:color="auto"/>
              <w:right w:val="single" w:sz="4" w:space="0" w:color="auto"/>
            </w:tcBorders>
            <w:shd w:val="clear" w:color="auto" w:fill="D9D9D9"/>
            <w:hideMark/>
          </w:tcPr>
          <w:p w14:paraId="6F4AE364" w14:textId="77777777" w:rsidR="00DA77DD" w:rsidRPr="00EF153E" w:rsidRDefault="00EA7270" w:rsidP="00B90901">
            <w:pPr>
              <w:spacing w:before="120" w:after="120" w:line="240"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Number of UCs Outstanding</w:t>
            </w:r>
          </w:p>
        </w:tc>
        <w:tc>
          <w:tcPr>
            <w:tcW w:w="1806" w:type="pct"/>
            <w:tcBorders>
              <w:top w:val="single" w:sz="4" w:space="0" w:color="auto"/>
              <w:left w:val="single" w:sz="4" w:space="0" w:color="auto"/>
              <w:bottom w:val="single" w:sz="4" w:space="0" w:color="auto"/>
              <w:right w:val="single" w:sz="4" w:space="0" w:color="auto"/>
            </w:tcBorders>
            <w:shd w:val="clear" w:color="auto" w:fill="D9D9D9"/>
            <w:hideMark/>
          </w:tcPr>
          <w:p w14:paraId="27025EED" w14:textId="77777777" w:rsidR="00DA77DD" w:rsidRPr="00EF153E" w:rsidRDefault="00EA7270" w:rsidP="00B90901">
            <w:pPr>
              <w:spacing w:before="120" w:after="120" w:line="240"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Amount (</w:t>
            </w:r>
            <w:r w:rsidR="00913B96" w:rsidRPr="00EF153E">
              <w:rPr>
                <w:rFonts w:ascii="Times New Roman" w:hAnsi="Times New Roman" w:cs="Times New Roman"/>
                <w:b/>
                <w:bCs/>
                <w:sz w:val="24"/>
                <w:szCs w:val="24"/>
              </w:rPr>
              <w:t>₹</w:t>
            </w:r>
            <w:r w:rsidR="00BD3356">
              <w:rPr>
                <w:rFonts w:ascii="Times New Roman" w:hAnsi="Times New Roman" w:cs="Times New Roman"/>
                <w:b/>
                <w:bCs/>
                <w:sz w:val="24"/>
                <w:szCs w:val="24"/>
              </w:rPr>
              <w:t xml:space="preserve"> </w:t>
            </w:r>
            <w:r w:rsidRPr="00EF153E">
              <w:rPr>
                <w:rFonts w:ascii="Times New Roman" w:hAnsi="Times New Roman" w:cs="Times New Roman"/>
                <w:b/>
                <w:bCs/>
                <w:sz w:val="24"/>
                <w:szCs w:val="24"/>
              </w:rPr>
              <w:t>in crore)</w:t>
            </w:r>
          </w:p>
        </w:tc>
      </w:tr>
      <w:tr w:rsidR="00DA77DD" w:rsidRPr="00EF153E" w14:paraId="100EEAA5" w14:textId="77777777" w:rsidTr="001072AB">
        <w:trPr>
          <w:jc w:val="right"/>
        </w:trPr>
        <w:tc>
          <w:tcPr>
            <w:tcW w:w="1275" w:type="pct"/>
            <w:tcBorders>
              <w:top w:val="single" w:sz="4" w:space="0" w:color="auto"/>
              <w:left w:val="single" w:sz="4" w:space="0" w:color="auto"/>
              <w:bottom w:val="single" w:sz="4" w:space="0" w:color="auto"/>
              <w:right w:val="single" w:sz="4" w:space="0" w:color="auto"/>
            </w:tcBorders>
            <w:hideMark/>
          </w:tcPr>
          <w:p w14:paraId="2AE0EAB9" w14:textId="77777777" w:rsidR="00DA77DD" w:rsidRPr="00EF153E" w:rsidRDefault="00A25432" w:rsidP="00B90901">
            <w:pPr>
              <w:spacing w:before="120" w:after="120" w:line="240" w:lineRule="auto"/>
              <w:jc w:val="center"/>
              <w:outlineLvl w:val="0"/>
              <w:rPr>
                <w:rFonts w:ascii="Times New Roman" w:hAnsi="Times New Roman" w:cs="Times New Roman"/>
                <w:sz w:val="24"/>
                <w:szCs w:val="24"/>
              </w:rPr>
            </w:pPr>
            <w:r w:rsidRPr="00EF153E">
              <w:rPr>
                <w:rFonts w:ascii="Times New Roman" w:hAnsi="Times New Roman" w:cs="Times New Roman"/>
                <w:sz w:val="24"/>
                <w:szCs w:val="24"/>
              </w:rPr>
              <w:t>Upto</w:t>
            </w:r>
            <w:r w:rsidR="00513E04" w:rsidRPr="00EF153E">
              <w:rPr>
                <w:rFonts w:ascii="Times New Roman" w:hAnsi="Times New Roman" w:cs="Times New Roman"/>
                <w:sz w:val="24"/>
                <w:szCs w:val="24"/>
              </w:rPr>
              <w:t xml:space="preserve"> </w:t>
            </w:r>
            <w:r w:rsidR="00EA7270" w:rsidRPr="00EF153E">
              <w:rPr>
                <w:rFonts w:ascii="Times New Roman" w:hAnsi="Times New Roman" w:cs="Times New Roman"/>
                <w:sz w:val="24"/>
                <w:szCs w:val="24"/>
              </w:rPr>
              <w:t>20</w:t>
            </w:r>
            <w:r w:rsidR="00244DC5" w:rsidRPr="00EF153E">
              <w:rPr>
                <w:rFonts w:ascii="Times New Roman" w:hAnsi="Times New Roman" w:cs="Times New Roman"/>
                <w:sz w:val="24"/>
                <w:szCs w:val="24"/>
              </w:rPr>
              <w:t>2</w:t>
            </w:r>
            <w:r w:rsidR="003B6D76">
              <w:rPr>
                <w:rFonts w:ascii="Times New Roman" w:hAnsi="Times New Roman" w:cs="Times New Roman"/>
                <w:sz w:val="24"/>
                <w:szCs w:val="24"/>
              </w:rPr>
              <w:t>1</w:t>
            </w:r>
            <w:r w:rsidR="00EA7270" w:rsidRPr="00EF153E">
              <w:rPr>
                <w:rFonts w:ascii="Times New Roman" w:hAnsi="Times New Roman" w:cs="Times New Roman"/>
                <w:sz w:val="24"/>
                <w:szCs w:val="24"/>
              </w:rPr>
              <w:t>-2</w:t>
            </w:r>
            <w:r w:rsidR="003B6D76">
              <w:rPr>
                <w:rFonts w:ascii="Times New Roman" w:hAnsi="Times New Roman" w:cs="Times New Roman"/>
                <w:sz w:val="24"/>
                <w:szCs w:val="24"/>
              </w:rPr>
              <w:t>2</w:t>
            </w:r>
          </w:p>
        </w:tc>
        <w:tc>
          <w:tcPr>
            <w:tcW w:w="1919" w:type="pct"/>
            <w:tcBorders>
              <w:top w:val="single" w:sz="4" w:space="0" w:color="auto"/>
              <w:left w:val="single" w:sz="4" w:space="0" w:color="auto"/>
              <w:bottom w:val="single" w:sz="4" w:space="0" w:color="auto"/>
              <w:right w:val="single" w:sz="4" w:space="0" w:color="auto"/>
            </w:tcBorders>
            <w:hideMark/>
          </w:tcPr>
          <w:p w14:paraId="11999580" w14:textId="77777777" w:rsidR="00DA77DD" w:rsidRPr="00EF153E" w:rsidRDefault="00555D20" w:rsidP="00B90901">
            <w:pPr>
              <w:widowControl w:val="0"/>
              <w:autoSpaceDE w:val="0"/>
              <w:autoSpaceDN w:val="0"/>
              <w:adjustRightInd w:val="0"/>
              <w:spacing w:before="120" w:after="120" w:line="240"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5</w:t>
            </w:r>
            <w:r w:rsidR="000940D5">
              <w:rPr>
                <w:rFonts w:ascii="Times New Roman" w:hAnsi="Times New Roman" w:cs="Times New Roman"/>
                <w:sz w:val="24"/>
                <w:szCs w:val="24"/>
              </w:rPr>
              <w:t>,</w:t>
            </w:r>
            <w:r>
              <w:rPr>
                <w:rFonts w:ascii="Times New Roman" w:hAnsi="Times New Roman" w:cs="Times New Roman"/>
                <w:sz w:val="24"/>
                <w:szCs w:val="24"/>
              </w:rPr>
              <w:t>001</w:t>
            </w:r>
          </w:p>
        </w:tc>
        <w:tc>
          <w:tcPr>
            <w:tcW w:w="1806" w:type="pct"/>
            <w:tcBorders>
              <w:top w:val="single" w:sz="4" w:space="0" w:color="auto"/>
              <w:left w:val="single" w:sz="4" w:space="0" w:color="auto"/>
              <w:bottom w:val="single" w:sz="4" w:space="0" w:color="auto"/>
              <w:right w:val="single" w:sz="4" w:space="0" w:color="auto"/>
            </w:tcBorders>
            <w:hideMark/>
          </w:tcPr>
          <w:p w14:paraId="4C08FE41" w14:textId="77777777" w:rsidR="00DA77DD" w:rsidRPr="00EF153E" w:rsidRDefault="00555D20" w:rsidP="00B90901">
            <w:pPr>
              <w:widowControl w:val="0"/>
              <w:autoSpaceDE w:val="0"/>
              <w:autoSpaceDN w:val="0"/>
              <w:adjustRightInd w:val="0"/>
              <w:spacing w:before="120" w:after="120" w:line="240"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11,808.44</w:t>
            </w:r>
          </w:p>
        </w:tc>
      </w:tr>
      <w:tr w:rsidR="00DA77DD" w:rsidRPr="00EF153E" w14:paraId="0EA4D759" w14:textId="77777777" w:rsidTr="001072AB">
        <w:trPr>
          <w:jc w:val="right"/>
        </w:trPr>
        <w:tc>
          <w:tcPr>
            <w:tcW w:w="1275" w:type="pct"/>
            <w:tcBorders>
              <w:top w:val="single" w:sz="4" w:space="0" w:color="auto"/>
              <w:left w:val="single" w:sz="4" w:space="0" w:color="auto"/>
              <w:bottom w:val="single" w:sz="4" w:space="0" w:color="auto"/>
              <w:right w:val="single" w:sz="4" w:space="0" w:color="auto"/>
            </w:tcBorders>
            <w:hideMark/>
          </w:tcPr>
          <w:p w14:paraId="274C660E" w14:textId="77777777" w:rsidR="00DA77DD" w:rsidRPr="00EF153E" w:rsidRDefault="00EA7270" w:rsidP="00B90901">
            <w:pPr>
              <w:spacing w:before="120" w:after="120" w:line="240" w:lineRule="auto"/>
              <w:jc w:val="center"/>
              <w:outlineLvl w:val="0"/>
              <w:rPr>
                <w:rFonts w:ascii="Times New Roman" w:hAnsi="Times New Roman" w:cs="Times New Roman"/>
                <w:sz w:val="24"/>
                <w:szCs w:val="24"/>
              </w:rPr>
            </w:pPr>
            <w:r w:rsidRPr="00EF153E">
              <w:rPr>
                <w:rFonts w:ascii="Times New Roman" w:hAnsi="Times New Roman" w:cs="Times New Roman"/>
                <w:sz w:val="24"/>
                <w:szCs w:val="24"/>
              </w:rPr>
              <w:t>202</w:t>
            </w:r>
            <w:r w:rsidR="003B6D76">
              <w:rPr>
                <w:rFonts w:ascii="Times New Roman" w:hAnsi="Times New Roman" w:cs="Times New Roman"/>
                <w:sz w:val="24"/>
                <w:szCs w:val="24"/>
              </w:rPr>
              <w:t>2</w:t>
            </w:r>
            <w:r w:rsidRPr="00EF153E">
              <w:rPr>
                <w:rFonts w:ascii="Times New Roman" w:hAnsi="Times New Roman" w:cs="Times New Roman"/>
                <w:sz w:val="24"/>
                <w:szCs w:val="24"/>
              </w:rPr>
              <w:t>-2</w:t>
            </w:r>
            <w:r w:rsidR="003B6D76">
              <w:rPr>
                <w:rFonts w:ascii="Times New Roman" w:hAnsi="Times New Roman" w:cs="Times New Roman"/>
                <w:sz w:val="24"/>
                <w:szCs w:val="24"/>
              </w:rPr>
              <w:t>3</w:t>
            </w:r>
          </w:p>
        </w:tc>
        <w:tc>
          <w:tcPr>
            <w:tcW w:w="1919" w:type="pct"/>
            <w:tcBorders>
              <w:top w:val="single" w:sz="4" w:space="0" w:color="auto"/>
              <w:left w:val="single" w:sz="4" w:space="0" w:color="auto"/>
              <w:bottom w:val="single" w:sz="4" w:space="0" w:color="auto"/>
              <w:right w:val="single" w:sz="4" w:space="0" w:color="auto"/>
            </w:tcBorders>
            <w:hideMark/>
          </w:tcPr>
          <w:p w14:paraId="38F3DDB6" w14:textId="77777777" w:rsidR="00DA77DD" w:rsidRPr="00EF153E" w:rsidRDefault="00555D20" w:rsidP="00B90901">
            <w:pPr>
              <w:widowControl w:val="0"/>
              <w:autoSpaceDE w:val="0"/>
              <w:autoSpaceDN w:val="0"/>
              <w:adjustRightInd w:val="0"/>
              <w:spacing w:before="120" w:after="120" w:line="240"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594</w:t>
            </w:r>
          </w:p>
        </w:tc>
        <w:tc>
          <w:tcPr>
            <w:tcW w:w="1806" w:type="pct"/>
            <w:tcBorders>
              <w:top w:val="single" w:sz="4" w:space="0" w:color="auto"/>
              <w:left w:val="single" w:sz="4" w:space="0" w:color="auto"/>
              <w:bottom w:val="single" w:sz="4" w:space="0" w:color="auto"/>
              <w:right w:val="single" w:sz="4" w:space="0" w:color="auto"/>
            </w:tcBorders>
            <w:hideMark/>
          </w:tcPr>
          <w:p w14:paraId="7E8D528D" w14:textId="77777777" w:rsidR="00DA77DD" w:rsidRPr="00EF153E" w:rsidRDefault="00555D20" w:rsidP="00B90901">
            <w:pPr>
              <w:widowControl w:val="0"/>
              <w:autoSpaceDE w:val="0"/>
              <w:autoSpaceDN w:val="0"/>
              <w:adjustRightInd w:val="0"/>
              <w:spacing w:before="120" w:after="120" w:line="240"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2,175.52</w:t>
            </w:r>
          </w:p>
        </w:tc>
      </w:tr>
      <w:tr w:rsidR="00DA77DD" w:rsidRPr="00EF153E" w14:paraId="5EBC3712" w14:textId="77777777" w:rsidTr="001072AB">
        <w:trPr>
          <w:jc w:val="right"/>
        </w:trPr>
        <w:tc>
          <w:tcPr>
            <w:tcW w:w="1275" w:type="pct"/>
            <w:tcBorders>
              <w:top w:val="single" w:sz="4" w:space="0" w:color="auto"/>
              <w:left w:val="single" w:sz="4" w:space="0" w:color="auto"/>
              <w:bottom w:val="single" w:sz="4" w:space="0" w:color="auto"/>
              <w:right w:val="single" w:sz="4" w:space="0" w:color="auto"/>
            </w:tcBorders>
            <w:hideMark/>
          </w:tcPr>
          <w:p w14:paraId="64E62900" w14:textId="77777777" w:rsidR="00DA77DD" w:rsidRPr="00EF153E" w:rsidRDefault="00EA7270" w:rsidP="00B90901">
            <w:pPr>
              <w:autoSpaceDE w:val="0"/>
              <w:autoSpaceDN w:val="0"/>
              <w:adjustRightInd w:val="0"/>
              <w:spacing w:before="120" w:after="120" w:line="240" w:lineRule="auto"/>
              <w:jc w:val="center"/>
              <w:rPr>
                <w:rFonts w:ascii="Times New Roman" w:hAnsi="Times New Roman" w:cs="Times New Roman"/>
                <w:b/>
                <w:sz w:val="24"/>
                <w:szCs w:val="24"/>
              </w:rPr>
            </w:pPr>
            <w:r w:rsidRPr="00EF153E">
              <w:rPr>
                <w:rFonts w:ascii="Times New Roman" w:hAnsi="Times New Roman" w:cs="Times New Roman"/>
                <w:b/>
                <w:sz w:val="24"/>
                <w:szCs w:val="24"/>
              </w:rPr>
              <w:t>Total</w:t>
            </w:r>
          </w:p>
        </w:tc>
        <w:tc>
          <w:tcPr>
            <w:tcW w:w="1919" w:type="pct"/>
            <w:tcBorders>
              <w:top w:val="single" w:sz="4" w:space="0" w:color="auto"/>
              <w:left w:val="single" w:sz="4" w:space="0" w:color="auto"/>
              <w:bottom w:val="single" w:sz="4" w:space="0" w:color="auto"/>
              <w:right w:val="single" w:sz="4" w:space="0" w:color="auto"/>
            </w:tcBorders>
            <w:vAlign w:val="bottom"/>
            <w:hideMark/>
          </w:tcPr>
          <w:p w14:paraId="6CBFE3A0" w14:textId="77777777" w:rsidR="00DA77DD" w:rsidRPr="00FA2661" w:rsidRDefault="00555D20" w:rsidP="00B90901">
            <w:pPr>
              <w:widowControl w:val="0"/>
              <w:autoSpaceDE w:val="0"/>
              <w:autoSpaceDN w:val="0"/>
              <w:spacing w:before="120" w:after="120" w:line="240" w:lineRule="auto"/>
              <w:ind w:left="260"/>
              <w:jc w:val="center"/>
              <w:outlineLvl w:val="0"/>
              <w:rPr>
                <w:rFonts w:ascii="Times New Roman" w:hAnsi="Times New Roman" w:cs="Times New Roman"/>
                <w:b/>
                <w:bCs/>
                <w:sz w:val="24"/>
                <w:szCs w:val="24"/>
              </w:rPr>
            </w:pPr>
            <w:r w:rsidRPr="00FA2661">
              <w:rPr>
                <w:rFonts w:ascii="Times New Roman" w:hAnsi="Times New Roman" w:cs="Times New Roman"/>
                <w:b/>
                <w:bCs/>
                <w:sz w:val="24"/>
                <w:szCs w:val="24"/>
              </w:rPr>
              <w:t>5</w:t>
            </w:r>
            <w:r w:rsidR="000940D5" w:rsidRPr="00FA2661">
              <w:rPr>
                <w:rFonts w:ascii="Times New Roman" w:hAnsi="Times New Roman" w:cs="Times New Roman"/>
                <w:b/>
                <w:bCs/>
                <w:sz w:val="24"/>
                <w:szCs w:val="24"/>
              </w:rPr>
              <w:t>,</w:t>
            </w:r>
            <w:r w:rsidRPr="00FA2661">
              <w:rPr>
                <w:rFonts w:ascii="Times New Roman" w:hAnsi="Times New Roman" w:cs="Times New Roman"/>
                <w:b/>
                <w:bCs/>
                <w:sz w:val="24"/>
                <w:szCs w:val="24"/>
              </w:rPr>
              <w:t>595</w:t>
            </w:r>
          </w:p>
        </w:tc>
        <w:tc>
          <w:tcPr>
            <w:tcW w:w="1806" w:type="pct"/>
            <w:tcBorders>
              <w:top w:val="single" w:sz="4" w:space="0" w:color="auto"/>
              <w:left w:val="single" w:sz="4" w:space="0" w:color="auto"/>
              <w:bottom w:val="single" w:sz="4" w:space="0" w:color="auto"/>
              <w:right w:val="single" w:sz="4" w:space="0" w:color="auto"/>
            </w:tcBorders>
            <w:vAlign w:val="bottom"/>
            <w:hideMark/>
          </w:tcPr>
          <w:p w14:paraId="188C7048" w14:textId="77777777" w:rsidR="00DA77DD" w:rsidRPr="00FA2661" w:rsidRDefault="00C15BDB" w:rsidP="00B90901">
            <w:pPr>
              <w:widowControl w:val="0"/>
              <w:autoSpaceDE w:val="0"/>
              <w:autoSpaceDN w:val="0"/>
              <w:spacing w:before="120" w:after="120" w:line="240" w:lineRule="auto"/>
              <w:ind w:left="260"/>
              <w:jc w:val="center"/>
              <w:outlineLvl w:val="0"/>
              <w:rPr>
                <w:rFonts w:ascii="Times New Roman" w:hAnsi="Times New Roman" w:cs="Times New Roman"/>
                <w:b/>
                <w:bCs/>
                <w:sz w:val="24"/>
                <w:szCs w:val="24"/>
              </w:rPr>
            </w:pPr>
            <w:r w:rsidRPr="00FA2661">
              <w:rPr>
                <w:rFonts w:ascii="Times New Roman" w:hAnsi="Times New Roman" w:cs="Times New Roman"/>
                <w:b/>
                <w:bCs/>
                <w:sz w:val="24"/>
                <w:szCs w:val="24"/>
              </w:rPr>
              <w:t>13,983.96</w:t>
            </w:r>
          </w:p>
        </w:tc>
      </w:tr>
    </w:tbl>
    <w:p w14:paraId="7599A13A" w14:textId="73ADE216" w:rsidR="00DA77DD" w:rsidRPr="00B90901" w:rsidRDefault="00EA7270" w:rsidP="00442795">
      <w:pPr>
        <w:pStyle w:val="BodyText"/>
        <w:tabs>
          <w:tab w:val="left" w:pos="142"/>
        </w:tabs>
        <w:kinsoku w:val="0"/>
        <w:overflowPunct w:val="0"/>
        <w:spacing w:before="120" w:after="240"/>
        <w:ind w:left="360"/>
        <w:contextualSpacing/>
        <w:rPr>
          <w:rFonts w:cs="Times New Roman"/>
          <w:sz w:val="18"/>
          <w:szCs w:val="18"/>
        </w:rPr>
      </w:pPr>
      <w:r w:rsidRPr="00B90901">
        <w:rPr>
          <w:rFonts w:cs="Times New Roman"/>
          <w:sz w:val="18"/>
          <w:szCs w:val="18"/>
        </w:rPr>
        <w:t xml:space="preserve">* The year mentioned above relates to “Due year” </w:t>
      </w:r>
      <w:r w:rsidRPr="00B90901">
        <w:rPr>
          <w:rFonts w:cs="Times New Roman"/>
          <w:i/>
          <w:iCs/>
          <w:sz w:val="18"/>
          <w:szCs w:val="18"/>
        </w:rPr>
        <w:t>i.e.</w:t>
      </w:r>
      <w:r w:rsidR="00264E54" w:rsidRPr="00B90901">
        <w:rPr>
          <w:rFonts w:cs="Times New Roman"/>
          <w:sz w:val="18"/>
          <w:szCs w:val="18"/>
        </w:rPr>
        <w:t>,</w:t>
      </w:r>
      <w:r w:rsidRPr="00B90901">
        <w:rPr>
          <w:rFonts w:cs="Times New Roman"/>
          <w:sz w:val="18"/>
          <w:szCs w:val="18"/>
        </w:rPr>
        <w:t xml:space="preserve"> after </w:t>
      </w:r>
      <w:r w:rsidR="003442AC" w:rsidRPr="00B90901">
        <w:rPr>
          <w:rFonts w:cs="Times New Roman"/>
          <w:sz w:val="18"/>
          <w:szCs w:val="18"/>
        </w:rPr>
        <w:t>12 months</w:t>
      </w:r>
      <w:r w:rsidRPr="00B90901">
        <w:rPr>
          <w:rFonts w:cs="Times New Roman"/>
          <w:sz w:val="18"/>
          <w:szCs w:val="18"/>
        </w:rPr>
        <w:t xml:space="preserve"> of</w:t>
      </w:r>
      <w:r w:rsidR="000940D5" w:rsidRPr="00B90901">
        <w:rPr>
          <w:rFonts w:cs="Times New Roman"/>
          <w:sz w:val="18"/>
          <w:szCs w:val="18"/>
        </w:rPr>
        <w:t xml:space="preserve"> the closu</w:t>
      </w:r>
      <w:r w:rsidR="00634397" w:rsidRPr="00B90901">
        <w:rPr>
          <w:rFonts w:cs="Times New Roman"/>
          <w:sz w:val="18"/>
          <w:szCs w:val="18"/>
        </w:rPr>
        <w:t>r</w:t>
      </w:r>
      <w:r w:rsidR="000940D5" w:rsidRPr="00B90901">
        <w:rPr>
          <w:rFonts w:cs="Times New Roman"/>
          <w:sz w:val="18"/>
          <w:szCs w:val="18"/>
        </w:rPr>
        <w:t>e</w:t>
      </w:r>
      <w:r w:rsidR="00634397" w:rsidRPr="00B90901">
        <w:rPr>
          <w:rFonts w:cs="Times New Roman"/>
          <w:sz w:val="18"/>
          <w:szCs w:val="18"/>
        </w:rPr>
        <w:t xml:space="preserve"> of the financial year. </w:t>
      </w:r>
    </w:p>
    <w:p w14:paraId="21CB194B" w14:textId="77777777" w:rsidR="00DA77DD" w:rsidRPr="00B90901" w:rsidRDefault="00AA1E5C" w:rsidP="00442795">
      <w:pPr>
        <w:pStyle w:val="BodyText"/>
        <w:tabs>
          <w:tab w:val="left" w:pos="-142"/>
        </w:tabs>
        <w:kinsoku w:val="0"/>
        <w:overflowPunct w:val="0"/>
        <w:spacing w:before="120" w:after="120"/>
        <w:ind w:left="360"/>
        <w:contextualSpacing/>
        <w:rPr>
          <w:rFonts w:cs="Times New Roman"/>
          <w:sz w:val="18"/>
          <w:szCs w:val="18"/>
        </w:rPr>
      </w:pPr>
      <w:r w:rsidRPr="00B90901">
        <w:rPr>
          <w:rFonts w:cs="Times New Roman"/>
          <w:sz w:val="18"/>
          <w:szCs w:val="18"/>
        </w:rPr>
        <w:t xml:space="preserve">Note: </w:t>
      </w:r>
      <w:r w:rsidR="00EA7270" w:rsidRPr="00B90901">
        <w:rPr>
          <w:rFonts w:cs="Times New Roman"/>
          <w:sz w:val="18"/>
          <w:szCs w:val="18"/>
        </w:rPr>
        <w:t xml:space="preserve">Additions during the year </w:t>
      </w:r>
      <w:r w:rsidR="003442AC" w:rsidRPr="00B90901">
        <w:rPr>
          <w:rFonts w:cs="Times New Roman"/>
          <w:sz w:val="18"/>
          <w:szCs w:val="18"/>
        </w:rPr>
        <w:t>202</w:t>
      </w:r>
      <w:r w:rsidR="0088489E" w:rsidRPr="00B90901">
        <w:rPr>
          <w:rFonts w:cs="Times New Roman"/>
          <w:sz w:val="18"/>
          <w:szCs w:val="18"/>
        </w:rPr>
        <w:t>2</w:t>
      </w:r>
      <w:r w:rsidR="003442AC" w:rsidRPr="00B90901">
        <w:rPr>
          <w:rFonts w:cs="Times New Roman"/>
          <w:sz w:val="18"/>
          <w:szCs w:val="18"/>
        </w:rPr>
        <w:t>-2</w:t>
      </w:r>
      <w:r w:rsidR="0088489E" w:rsidRPr="00B90901">
        <w:rPr>
          <w:rFonts w:cs="Times New Roman"/>
          <w:sz w:val="18"/>
          <w:szCs w:val="18"/>
        </w:rPr>
        <w:t>3</w:t>
      </w:r>
      <w:r w:rsidRPr="00B90901">
        <w:rPr>
          <w:rFonts w:cs="Times New Roman"/>
          <w:sz w:val="18"/>
          <w:szCs w:val="18"/>
        </w:rPr>
        <w:t xml:space="preserve"> </w:t>
      </w:r>
      <w:r w:rsidR="00143B3F" w:rsidRPr="00B90901">
        <w:rPr>
          <w:rFonts w:cs="Times New Roman"/>
          <w:sz w:val="18"/>
          <w:szCs w:val="18"/>
        </w:rPr>
        <w:t>for</w:t>
      </w:r>
      <w:r w:rsidR="003442AC" w:rsidRPr="00B90901">
        <w:rPr>
          <w:rFonts w:cs="Times New Roman"/>
          <w:sz w:val="18"/>
          <w:szCs w:val="18"/>
        </w:rPr>
        <w:t xml:space="preserve"> an amount of</w:t>
      </w:r>
      <w:r w:rsidR="00D8271C" w:rsidRPr="00B90901">
        <w:rPr>
          <w:rFonts w:cs="Times New Roman"/>
          <w:sz w:val="18"/>
          <w:szCs w:val="18"/>
        </w:rPr>
        <w:t xml:space="preserve"> ₹</w:t>
      </w:r>
      <w:r w:rsidR="003A533B" w:rsidRPr="00B90901">
        <w:rPr>
          <w:rFonts w:cs="Times New Roman"/>
          <w:sz w:val="18"/>
          <w:szCs w:val="18"/>
        </w:rPr>
        <w:t>2635.16</w:t>
      </w:r>
      <w:r w:rsidR="003442AC" w:rsidRPr="00B90901">
        <w:rPr>
          <w:rFonts w:cs="Times New Roman"/>
          <w:sz w:val="18"/>
          <w:szCs w:val="18"/>
        </w:rPr>
        <w:t xml:space="preserve"> cr</w:t>
      </w:r>
      <w:r w:rsidR="00B33764" w:rsidRPr="00B90901">
        <w:rPr>
          <w:rFonts w:cs="Times New Roman"/>
          <w:sz w:val="18"/>
          <w:szCs w:val="18"/>
        </w:rPr>
        <w:t>ore in</w:t>
      </w:r>
      <w:r w:rsidR="00143B3F" w:rsidRPr="00B90901">
        <w:rPr>
          <w:rFonts w:cs="Times New Roman"/>
          <w:sz w:val="18"/>
          <w:szCs w:val="18"/>
        </w:rPr>
        <w:t>volving</w:t>
      </w:r>
      <w:r w:rsidR="00B33764" w:rsidRPr="00B90901">
        <w:rPr>
          <w:rFonts w:cs="Times New Roman"/>
          <w:sz w:val="18"/>
          <w:szCs w:val="18"/>
        </w:rPr>
        <w:t xml:space="preserve"> </w:t>
      </w:r>
      <w:r w:rsidR="003A533B" w:rsidRPr="00B90901">
        <w:rPr>
          <w:rFonts w:cs="Times New Roman"/>
          <w:sz w:val="18"/>
          <w:szCs w:val="18"/>
        </w:rPr>
        <w:t>1508</w:t>
      </w:r>
      <w:r w:rsidR="00B33764" w:rsidRPr="00B90901">
        <w:rPr>
          <w:rFonts w:cs="Times New Roman"/>
          <w:sz w:val="18"/>
          <w:szCs w:val="18"/>
        </w:rPr>
        <w:t xml:space="preserve"> numbers of U</w:t>
      </w:r>
      <w:r w:rsidR="003442AC" w:rsidRPr="00B90901">
        <w:rPr>
          <w:rFonts w:cs="Times New Roman"/>
          <w:sz w:val="18"/>
          <w:szCs w:val="18"/>
        </w:rPr>
        <w:t>Cs is due in the year 202</w:t>
      </w:r>
      <w:r w:rsidR="0088489E" w:rsidRPr="00B90901">
        <w:rPr>
          <w:rFonts w:cs="Times New Roman"/>
          <w:sz w:val="18"/>
          <w:szCs w:val="18"/>
        </w:rPr>
        <w:t>3</w:t>
      </w:r>
      <w:r w:rsidR="003442AC" w:rsidRPr="00B90901">
        <w:rPr>
          <w:rFonts w:cs="Times New Roman"/>
          <w:sz w:val="18"/>
          <w:szCs w:val="18"/>
        </w:rPr>
        <w:t>-2</w:t>
      </w:r>
      <w:r w:rsidR="0088489E" w:rsidRPr="00B90901">
        <w:rPr>
          <w:rFonts w:cs="Times New Roman"/>
          <w:sz w:val="18"/>
          <w:szCs w:val="18"/>
        </w:rPr>
        <w:t>4</w:t>
      </w:r>
      <w:r w:rsidR="00EA7270" w:rsidRPr="00B90901">
        <w:rPr>
          <w:rFonts w:cs="Times New Roman"/>
          <w:sz w:val="18"/>
          <w:szCs w:val="18"/>
        </w:rPr>
        <w:t xml:space="preserve">. </w:t>
      </w:r>
    </w:p>
    <w:p w14:paraId="07962964" w14:textId="77777777" w:rsidR="003349E0" w:rsidRPr="003349E0" w:rsidRDefault="003349E0" w:rsidP="003349E0">
      <w:pPr>
        <w:pStyle w:val="BodyText"/>
        <w:tabs>
          <w:tab w:val="left" w:pos="540"/>
        </w:tabs>
        <w:kinsoku w:val="0"/>
        <w:overflowPunct w:val="0"/>
        <w:spacing w:before="120" w:after="120"/>
        <w:ind w:left="539" w:right="-51"/>
        <w:contextualSpacing/>
        <w:rPr>
          <w:rFonts w:cs="Times New Roman"/>
          <w:sz w:val="20"/>
          <w:szCs w:val="20"/>
        </w:rPr>
      </w:pPr>
    </w:p>
    <w:p w14:paraId="26BE9E52" w14:textId="73174C34" w:rsidR="003349E0" w:rsidRDefault="00E56D87" w:rsidP="002F7576">
      <w:pPr>
        <w:pStyle w:val="BodyText"/>
        <w:tabs>
          <w:tab w:val="left" w:pos="284"/>
        </w:tabs>
        <w:adjustRightInd w:val="0"/>
        <w:spacing w:before="240" w:after="240"/>
        <w:jc w:val="center"/>
        <w:rPr>
          <w:rFonts w:cs="Times New Roman"/>
        </w:rPr>
      </w:pPr>
      <w:r w:rsidRPr="000E5CAC">
        <w:rPr>
          <w:rFonts w:cs="Times New Roman"/>
          <w:b/>
        </w:rPr>
        <w:t xml:space="preserve">Table 6: </w:t>
      </w:r>
      <w:r w:rsidR="00680925">
        <w:rPr>
          <w:rFonts w:cs="Times New Roman"/>
          <w:b/>
        </w:rPr>
        <w:t>P</w:t>
      </w:r>
      <w:r w:rsidR="003349E0" w:rsidRPr="000E5CAC">
        <w:rPr>
          <w:rFonts w:cs="Times New Roman"/>
          <w:b/>
        </w:rPr>
        <w:t>osition of outstanding UCs as on 31.03.202</w:t>
      </w:r>
      <w:r w:rsidR="0014122B">
        <w:rPr>
          <w:rFonts w:cs="Times New Roman"/>
          <w:b/>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3207"/>
        <w:gridCol w:w="2875"/>
      </w:tblGrid>
      <w:tr w:rsidR="00014B96" w:rsidRPr="00EF153E" w14:paraId="0A5584BE" w14:textId="77777777" w:rsidTr="001072AB">
        <w:trPr>
          <w:jc w:val="center"/>
        </w:trPr>
        <w:tc>
          <w:tcPr>
            <w:tcW w:w="2340" w:type="dxa"/>
            <w:tcBorders>
              <w:top w:val="single" w:sz="4" w:space="0" w:color="auto"/>
              <w:left w:val="single" w:sz="4" w:space="0" w:color="auto"/>
              <w:bottom w:val="single" w:sz="4" w:space="0" w:color="auto"/>
              <w:right w:val="single" w:sz="4" w:space="0" w:color="auto"/>
            </w:tcBorders>
            <w:shd w:val="clear" w:color="auto" w:fill="D9D9D9"/>
            <w:hideMark/>
          </w:tcPr>
          <w:p w14:paraId="79CC8415" w14:textId="77777777" w:rsidR="00014B96" w:rsidRPr="00EF153E" w:rsidRDefault="00014B96" w:rsidP="00B90901">
            <w:pPr>
              <w:spacing w:before="120" w:after="12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Year</w:t>
            </w:r>
          </w:p>
        </w:tc>
        <w:tc>
          <w:tcPr>
            <w:tcW w:w="3207" w:type="dxa"/>
            <w:tcBorders>
              <w:top w:val="single" w:sz="4" w:space="0" w:color="auto"/>
              <w:left w:val="single" w:sz="4" w:space="0" w:color="auto"/>
              <w:bottom w:val="single" w:sz="4" w:space="0" w:color="auto"/>
              <w:right w:val="single" w:sz="4" w:space="0" w:color="auto"/>
            </w:tcBorders>
            <w:shd w:val="clear" w:color="auto" w:fill="D9D9D9"/>
            <w:hideMark/>
          </w:tcPr>
          <w:p w14:paraId="35F400BB" w14:textId="77777777" w:rsidR="00014B96" w:rsidRPr="00EF153E" w:rsidRDefault="00014B96" w:rsidP="00B90901">
            <w:pPr>
              <w:spacing w:before="120" w:after="12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Number of UCs Outstanding</w:t>
            </w:r>
          </w:p>
        </w:tc>
        <w:tc>
          <w:tcPr>
            <w:tcW w:w="2875" w:type="dxa"/>
            <w:tcBorders>
              <w:top w:val="single" w:sz="4" w:space="0" w:color="auto"/>
              <w:left w:val="single" w:sz="4" w:space="0" w:color="auto"/>
              <w:bottom w:val="single" w:sz="4" w:space="0" w:color="auto"/>
              <w:right w:val="single" w:sz="4" w:space="0" w:color="auto"/>
            </w:tcBorders>
            <w:shd w:val="clear" w:color="auto" w:fill="D9D9D9"/>
            <w:hideMark/>
          </w:tcPr>
          <w:p w14:paraId="6CCCDD5F" w14:textId="77777777" w:rsidR="00014B96" w:rsidRPr="00EF153E" w:rsidRDefault="00014B96" w:rsidP="00B90901">
            <w:pPr>
              <w:spacing w:before="120" w:after="120" w:line="276" w:lineRule="auto"/>
              <w:jc w:val="center"/>
              <w:outlineLvl w:val="0"/>
              <w:rPr>
                <w:rFonts w:ascii="Times New Roman" w:hAnsi="Times New Roman" w:cs="Times New Roman"/>
                <w:b/>
                <w:bCs/>
                <w:sz w:val="24"/>
                <w:szCs w:val="24"/>
              </w:rPr>
            </w:pPr>
            <w:r w:rsidRPr="00EF153E">
              <w:rPr>
                <w:rFonts w:ascii="Times New Roman" w:hAnsi="Times New Roman" w:cs="Times New Roman"/>
                <w:b/>
                <w:bCs/>
                <w:sz w:val="24"/>
                <w:szCs w:val="24"/>
              </w:rPr>
              <w:t>Amount (₹</w:t>
            </w:r>
            <w:r>
              <w:rPr>
                <w:rFonts w:ascii="Times New Roman" w:hAnsi="Times New Roman" w:cs="Times New Roman"/>
                <w:b/>
                <w:bCs/>
                <w:sz w:val="24"/>
                <w:szCs w:val="24"/>
              </w:rPr>
              <w:t xml:space="preserve"> </w:t>
            </w:r>
            <w:r w:rsidRPr="00EF153E">
              <w:rPr>
                <w:rFonts w:ascii="Times New Roman" w:hAnsi="Times New Roman" w:cs="Times New Roman"/>
                <w:b/>
                <w:bCs/>
                <w:sz w:val="24"/>
                <w:szCs w:val="24"/>
              </w:rPr>
              <w:t>in crore)</w:t>
            </w:r>
          </w:p>
        </w:tc>
      </w:tr>
      <w:tr w:rsidR="00014B96" w:rsidRPr="00EF153E" w14:paraId="63C0CAB5" w14:textId="77777777" w:rsidTr="001072AB">
        <w:trPr>
          <w:jc w:val="center"/>
        </w:trPr>
        <w:tc>
          <w:tcPr>
            <w:tcW w:w="2340" w:type="dxa"/>
            <w:tcBorders>
              <w:top w:val="single" w:sz="4" w:space="0" w:color="auto"/>
              <w:left w:val="single" w:sz="4" w:space="0" w:color="auto"/>
              <w:bottom w:val="single" w:sz="4" w:space="0" w:color="auto"/>
              <w:right w:val="single" w:sz="4" w:space="0" w:color="auto"/>
            </w:tcBorders>
            <w:hideMark/>
          </w:tcPr>
          <w:p w14:paraId="0DD230FD" w14:textId="77777777" w:rsidR="00014B96" w:rsidRPr="00EF153E" w:rsidRDefault="00014B96" w:rsidP="00B90901">
            <w:pPr>
              <w:spacing w:before="120" w:after="120" w:line="276" w:lineRule="auto"/>
              <w:jc w:val="center"/>
              <w:outlineLvl w:val="0"/>
              <w:rPr>
                <w:rFonts w:ascii="Times New Roman" w:hAnsi="Times New Roman" w:cs="Times New Roman"/>
                <w:sz w:val="24"/>
                <w:szCs w:val="24"/>
              </w:rPr>
            </w:pPr>
            <w:r w:rsidRPr="00EF153E">
              <w:rPr>
                <w:rFonts w:ascii="Times New Roman" w:hAnsi="Times New Roman" w:cs="Times New Roman"/>
                <w:sz w:val="24"/>
                <w:szCs w:val="24"/>
              </w:rPr>
              <w:t xml:space="preserve">Upto </w:t>
            </w:r>
            <w:r w:rsidR="006C37D8">
              <w:rPr>
                <w:rFonts w:ascii="Times New Roman" w:hAnsi="Times New Roman" w:cs="Times New Roman"/>
                <w:sz w:val="24"/>
                <w:szCs w:val="24"/>
              </w:rPr>
              <w:t>2020-21</w:t>
            </w:r>
          </w:p>
        </w:tc>
        <w:tc>
          <w:tcPr>
            <w:tcW w:w="3207" w:type="dxa"/>
            <w:tcBorders>
              <w:top w:val="single" w:sz="4" w:space="0" w:color="auto"/>
              <w:left w:val="single" w:sz="4" w:space="0" w:color="auto"/>
              <w:bottom w:val="single" w:sz="4" w:space="0" w:color="auto"/>
              <w:right w:val="single" w:sz="4" w:space="0" w:color="auto"/>
            </w:tcBorders>
            <w:hideMark/>
          </w:tcPr>
          <w:p w14:paraId="53AE03B8" w14:textId="77777777" w:rsidR="00014B96" w:rsidRPr="00EF153E" w:rsidRDefault="006C37D8" w:rsidP="00B90901">
            <w:pPr>
              <w:widowControl w:val="0"/>
              <w:autoSpaceDE w:val="0"/>
              <w:autoSpaceDN w:val="0"/>
              <w:adjustRightInd w:val="0"/>
              <w:spacing w:before="120" w:after="12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6,318</w:t>
            </w:r>
          </w:p>
        </w:tc>
        <w:tc>
          <w:tcPr>
            <w:tcW w:w="2875" w:type="dxa"/>
            <w:tcBorders>
              <w:top w:val="single" w:sz="4" w:space="0" w:color="auto"/>
              <w:left w:val="single" w:sz="4" w:space="0" w:color="auto"/>
              <w:bottom w:val="single" w:sz="4" w:space="0" w:color="auto"/>
              <w:right w:val="single" w:sz="4" w:space="0" w:color="auto"/>
            </w:tcBorders>
            <w:hideMark/>
          </w:tcPr>
          <w:p w14:paraId="55D19152" w14:textId="77777777" w:rsidR="00014B96" w:rsidRPr="00EF153E" w:rsidRDefault="006C37D8" w:rsidP="00B90901">
            <w:pPr>
              <w:widowControl w:val="0"/>
              <w:autoSpaceDE w:val="0"/>
              <w:autoSpaceDN w:val="0"/>
              <w:adjustRightInd w:val="0"/>
              <w:spacing w:before="120" w:after="12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11,082.01</w:t>
            </w:r>
          </w:p>
        </w:tc>
      </w:tr>
      <w:tr w:rsidR="00014B96" w:rsidRPr="00EF153E" w14:paraId="15B2B2BC" w14:textId="77777777" w:rsidTr="001072AB">
        <w:trPr>
          <w:trHeight w:val="56"/>
          <w:jc w:val="center"/>
        </w:trPr>
        <w:tc>
          <w:tcPr>
            <w:tcW w:w="2340" w:type="dxa"/>
            <w:tcBorders>
              <w:top w:val="single" w:sz="4" w:space="0" w:color="auto"/>
              <w:left w:val="single" w:sz="4" w:space="0" w:color="auto"/>
              <w:bottom w:val="single" w:sz="4" w:space="0" w:color="auto"/>
              <w:right w:val="single" w:sz="4" w:space="0" w:color="auto"/>
            </w:tcBorders>
            <w:hideMark/>
          </w:tcPr>
          <w:p w14:paraId="762D6C60" w14:textId="77777777" w:rsidR="00014B96" w:rsidRPr="00014B96" w:rsidRDefault="000940D5" w:rsidP="00B90901">
            <w:pPr>
              <w:autoSpaceDE w:val="0"/>
              <w:autoSpaceDN w:val="0"/>
              <w:adjustRightInd w:val="0"/>
              <w:spacing w:before="120" w:after="120" w:line="276" w:lineRule="auto"/>
              <w:jc w:val="center"/>
              <w:rPr>
                <w:rFonts w:ascii="Times New Roman" w:hAnsi="Times New Roman" w:cs="Times New Roman"/>
                <w:sz w:val="24"/>
                <w:szCs w:val="24"/>
              </w:rPr>
            </w:pPr>
            <w:r>
              <w:rPr>
                <w:rFonts w:ascii="Times New Roman" w:hAnsi="Times New Roman" w:cs="Times New Roman"/>
                <w:sz w:val="24"/>
                <w:szCs w:val="24"/>
              </w:rPr>
              <w:t>2021</w:t>
            </w:r>
            <w:r w:rsidR="00014B96" w:rsidRPr="00014B96">
              <w:rPr>
                <w:rFonts w:ascii="Times New Roman" w:hAnsi="Times New Roman" w:cs="Times New Roman"/>
                <w:sz w:val="24"/>
                <w:szCs w:val="24"/>
              </w:rPr>
              <w:t>-2</w:t>
            </w:r>
            <w:r>
              <w:rPr>
                <w:rFonts w:ascii="Times New Roman" w:hAnsi="Times New Roman" w:cs="Times New Roman"/>
                <w:sz w:val="24"/>
                <w:szCs w:val="24"/>
              </w:rPr>
              <w:t>2</w:t>
            </w:r>
          </w:p>
        </w:tc>
        <w:tc>
          <w:tcPr>
            <w:tcW w:w="3207" w:type="dxa"/>
            <w:tcBorders>
              <w:top w:val="single" w:sz="4" w:space="0" w:color="auto"/>
              <w:left w:val="single" w:sz="4" w:space="0" w:color="auto"/>
              <w:bottom w:val="single" w:sz="4" w:space="0" w:color="auto"/>
              <w:right w:val="single" w:sz="4" w:space="0" w:color="auto"/>
            </w:tcBorders>
            <w:vAlign w:val="bottom"/>
            <w:hideMark/>
          </w:tcPr>
          <w:p w14:paraId="47A38AEC" w14:textId="77777777" w:rsidR="00014B96" w:rsidRPr="00014B96" w:rsidRDefault="006C37D8" w:rsidP="00B90901">
            <w:pPr>
              <w:widowControl w:val="0"/>
              <w:autoSpaceDE w:val="0"/>
              <w:autoSpaceDN w:val="0"/>
              <w:spacing w:before="120" w:after="12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1,405</w:t>
            </w:r>
          </w:p>
        </w:tc>
        <w:tc>
          <w:tcPr>
            <w:tcW w:w="2875" w:type="dxa"/>
            <w:tcBorders>
              <w:top w:val="single" w:sz="4" w:space="0" w:color="auto"/>
              <w:left w:val="single" w:sz="4" w:space="0" w:color="auto"/>
              <w:bottom w:val="single" w:sz="4" w:space="0" w:color="auto"/>
              <w:right w:val="single" w:sz="4" w:space="0" w:color="auto"/>
            </w:tcBorders>
            <w:vAlign w:val="bottom"/>
            <w:hideMark/>
          </w:tcPr>
          <w:p w14:paraId="681556E0" w14:textId="77777777" w:rsidR="00014B96" w:rsidRPr="00014B96" w:rsidRDefault="006C37D8" w:rsidP="00B90901">
            <w:pPr>
              <w:widowControl w:val="0"/>
              <w:autoSpaceDE w:val="0"/>
              <w:autoSpaceDN w:val="0"/>
              <w:spacing w:before="120" w:after="120" w:line="276" w:lineRule="auto"/>
              <w:ind w:left="260"/>
              <w:jc w:val="center"/>
              <w:outlineLvl w:val="0"/>
              <w:rPr>
                <w:rFonts w:ascii="Times New Roman" w:hAnsi="Times New Roman" w:cs="Times New Roman"/>
                <w:sz w:val="24"/>
                <w:szCs w:val="24"/>
              </w:rPr>
            </w:pPr>
            <w:r>
              <w:rPr>
                <w:rFonts w:ascii="Times New Roman" w:hAnsi="Times New Roman" w:cs="Times New Roman"/>
                <w:sz w:val="24"/>
                <w:szCs w:val="24"/>
              </w:rPr>
              <w:t>3,569.88</w:t>
            </w:r>
          </w:p>
        </w:tc>
      </w:tr>
      <w:tr w:rsidR="00014B96" w:rsidRPr="00EF153E" w14:paraId="6D706D76" w14:textId="77777777" w:rsidTr="001072AB">
        <w:trPr>
          <w:jc w:val="center"/>
        </w:trPr>
        <w:tc>
          <w:tcPr>
            <w:tcW w:w="2340" w:type="dxa"/>
            <w:tcBorders>
              <w:top w:val="single" w:sz="4" w:space="0" w:color="auto"/>
              <w:left w:val="single" w:sz="4" w:space="0" w:color="auto"/>
              <w:bottom w:val="single" w:sz="4" w:space="0" w:color="auto"/>
              <w:right w:val="single" w:sz="4" w:space="0" w:color="auto"/>
            </w:tcBorders>
            <w:hideMark/>
          </w:tcPr>
          <w:p w14:paraId="037F843B" w14:textId="77777777" w:rsidR="00014B96" w:rsidRPr="00EF153E" w:rsidRDefault="00014B96" w:rsidP="00B90901">
            <w:pPr>
              <w:autoSpaceDE w:val="0"/>
              <w:autoSpaceDN w:val="0"/>
              <w:adjustRightInd w:val="0"/>
              <w:spacing w:before="120" w:after="120" w:line="276" w:lineRule="auto"/>
              <w:jc w:val="center"/>
              <w:rPr>
                <w:rFonts w:ascii="Times New Roman" w:hAnsi="Times New Roman" w:cs="Times New Roman"/>
                <w:b/>
                <w:sz w:val="24"/>
                <w:szCs w:val="24"/>
              </w:rPr>
            </w:pPr>
            <w:r w:rsidRPr="00EF153E">
              <w:rPr>
                <w:rFonts w:ascii="Times New Roman" w:hAnsi="Times New Roman" w:cs="Times New Roman"/>
                <w:b/>
                <w:sz w:val="24"/>
                <w:szCs w:val="24"/>
              </w:rPr>
              <w:t>Total</w:t>
            </w:r>
          </w:p>
        </w:tc>
        <w:tc>
          <w:tcPr>
            <w:tcW w:w="3207" w:type="dxa"/>
            <w:tcBorders>
              <w:top w:val="single" w:sz="4" w:space="0" w:color="auto"/>
              <w:left w:val="single" w:sz="4" w:space="0" w:color="auto"/>
              <w:bottom w:val="single" w:sz="4" w:space="0" w:color="auto"/>
              <w:right w:val="single" w:sz="4" w:space="0" w:color="auto"/>
            </w:tcBorders>
            <w:vAlign w:val="bottom"/>
            <w:hideMark/>
          </w:tcPr>
          <w:p w14:paraId="4E008C2C" w14:textId="77777777" w:rsidR="00014B96" w:rsidRPr="00FA2661" w:rsidRDefault="006C37D8" w:rsidP="00B90901">
            <w:pPr>
              <w:widowControl w:val="0"/>
              <w:autoSpaceDE w:val="0"/>
              <w:autoSpaceDN w:val="0"/>
              <w:spacing w:before="120" w:after="120" w:line="276" w:lineRule="auto"/>
              <w:ind w:left="260"/>
              <w:jc w:val="center"/>
              <w:outlineLvl w:val="0"/>
              <w:rPr>
                <w:rFonts w:ascii="Times New Roman" w:hAnsi="Times New Roman" w:cs="Times New Roman"/>
                <w:b/>
                <w:bCs/>
                <w:sz w:val="24"/>
                <w:szCs w:val="24"/>
              </w:rPr>
            </w:pPr>
            <w:r w:rsidRPr="00FA2661">
              <w:rPr>
                <w:rFonts w:ascii="Times New Roman" w:hAnsi="Times New Roman" w:cs="Times New Roman"/>
                <w:b/>
                <w:bCs/>
                <w:sz w:val="24"/>
                <w:szCs w:val="24"/>
              </w:rPr>
              <w:t>7,723</w:t>
            </w:r>
          </w:p>
        </w:tc>
        <w:tc>
          <w:tcPr>
            <w:tcW w:w="2875" w:type="dxa"/>
            <w:tcBorders>
              <w:top w:val="single" w:sz="4" w:space="0" w:color="auto"/>
              <w:left w:val="single" w:sz="4" w:space="0" w:color="auto"/>
              <w:bottom w:val="single" w:sz="4" w:space="0" w:color="auto"/>
              <w:right w:val="single" w:sz="4" w:space="0" w:color="auto"/>
            </w:tcBorders>
            <w:vAlign w:val="bottom"/>
            <w:hideMark/>
          </w:tcPr>
          <w:p w14:paraId="060E4B6E" w14:textId="77777777" w:rsidR="00014B96" w:rsidRPr="00FA2661" w:rsidRDefault="000940D5" w:rsidP="00B90901">
            <w:pPr>
              <w:widowControl w:val="0"/>
              <w:autoSpaceDE w:val="0"/>
              <w:autoSpaceDN w:val="0"/>
              <w:spacing w:before="120" w:after="120" w:line="276" w:lineRule="auto"/>
              <w:ind w:left="260"/>
              <w:jc w:val="center"/>
              <w:outlineLvl w:val="0"/>
              <w:rPr>
                <w:rFonts w:ascii="Times New Roman" w:hAnsi="Times New Roman" w:cs="Times New Roman"/>
                <w:b/>
                <w:bCs/>
                <w:sz w:val="24"/>
                <w:szCs w:val="24"/>
              </w:rPr>
            </w:pPr>
            <w:r w:rsidRPr="00FA2661">
              <w:rPr>
                <w:rFonts w:ascii="Times New Roman" w:hAnsi="Times New Roman" w:cs="Times New Roman"/>
                <w:b/>
                <w:bCs/>
                <w:sz w:val="24"/>
                <w:szCs w:val="24"/>
              </w:rPr>
              <w:t>1</w:t>
            </w:r>
            <w:r w:rsidR="006C37D8" w:rsidRPr="00FA2661">
              <w:rPr>
                <w:rFonts w:ascii="Times New Roman" w:hAnsi="Times New Roman" w:cs="Times New Roman"/>
                <w:b/>
                <w:bCs/>
                <w:sz w:val="24"/>
                <w:szCs w:val="24"/>
              </w:rPr>
              <w:t>4</w:t>
            </w:r>
            <w:r w:rsidRPr="00FA2661">
              <w:rPr>
                <w:rFonts w:ascii="Times New Roman" w:hAnsi="Times New Roman" w:cs="Times New Roman"/>
                <w:b/>
                <w:bCs/>
                <w:sz w:val="24"/>
                <w:szCs w:val="24"/>
              </w:rPr>
              <w:t>,</w:t>
            </w:r>
            <w:r w:rsidR="006C37D8" w:rsidRPr="00FA2661">
              <w:rPr>
                <w:rFonts w:ascii="Times New Roman" w:hAnsi="Times New Roman" w:cs="Times New Roman"/>
                <w:b/>
                <w:bCs/>
                <w:sz w:val="24"/>
                <w:szCs w:val="24"/>
              </w:rPr>
              <w:t>65</w:t>
            </w:r>
            <w:r w:rsidRPr="00FA2661">
              <w:rPr>
                <w:rFonts w:ascii="Times New Roman" w:hAnsi="Times New Roman" w:cs="Times New Roman"/>
                <w:b/>
                <w:bCs/>
                <w:sz w:val="24"/>
                <w:szCs w:val="24"/>
              </w:rPr>
              <w:t>1</w:t>
            </w:r>
            <w:r w:rsidR="006C37D8" w:rsidRPr="00FA2661">
              <w:rPr>
                <w:rFonts w:ascii="Times New Roman" w:hAnsi="Times New Roman" w:cs="Times New Roman"/>
                <w:b/>
                <w:bCs/>
                <w:sz w:val="24"/>
                <w:szCs w:val="24"/>
              </w:rPr>
              <w:t>.89</w:t>
            </w:r>
          </w:p>
        </w:tc>
      </w:tr>
    </w:tbl>
    <w:p w14:paraId="0D24320B" w14:textId="77777777" w:rsidR="00DA472D" w:rsidRPr="00DA472D" w:rsidRDefault="00DA472D" w:rsidP="00442795">
      <w:pPr>
        <w:pStyle w:val="BodyText"/>
        <w:tabs>
          <w:tab w:val="left" w:pos="540"/>
        </w:tabs>
        <w:kinsoku w:val="0"/>
        <w:overflowPunct w:val="0"/>
        <w:spacing w:before="240" w:after="120" w:line="276" w:lineRule="auto"/>
        <w:ind w:left="360"/>
        <w:rPr>
          <w:rFonts w:cs="Times New Roman"/>
          <w:i/>
        </w:rPr>
      </w:pPr>
      <w:r w:rsidRPr="00DA472D">
        <w:rPr>
          <w:rFonts w:cs="Times New Roman"/>
          <w:i/>
        </w:rPr>
        <w:t>This has reference to</w:t>
      </w:r>
      <w:r w:rsidR="00014B96">
        <w:rPr>
          <w:rFonts w:cs="Times New Roman"/>
          <w:i/>
        </w:rPr>
        <w:t xml:space="preserve"> the S</w:t>
      </w:r>
      <w:r w:rsidR="00DB36B1">
        <w:rPr>
          <w:rFonts w:cs="Times New Roman"/>
          <w:i/>
        </w:rPr>
        <w:t xml:space="preserve">tatement 10 and Appendix </w:t>
      </w:r>
      <w:r w:rsidR="00DC153D">
        <w:rPr>
          <w:rFonts w:cs="Times New Roman"/>
          <w:i/>
        </w:rPr>
        <w:t>III</w:t>
      </w:r>
      <w:r w:rsidRPr="00DA472D">
        <w:rPr>
          <w:rFonts w:cs="Times New Roman"/>
          <w:i/>
        </w:rPr>
        <w:t xml:space="preserve"> of the Finance Accounts.</w:t>
      </w:r>
    </w:p>
    <w:p w14:paraId="40A0924F" w14:textId="77777777" w:rsidR="00E92636" w:rsidRPr="00EF153E" w:rsidRDefault="00EA7270" w:rsidP="00442795">
      <w:pPr>
        <w:pStyle w:val="ListParagraph"/>
        <w:widowControl w:val="0"/>
        <w:numPr>
          <w:ilvl w:val="0"/>
          <w:numId w:val="20"/>
        </w:numPr>
        <w:autoSpaceDE w:val="0"/>
        <w:autoSpaceDN w:val="0"/>
        <w:adjustRightInd w:val="0"/>
        <w:spacing w:before="240" w:after="240" w:line="288" w:lineRule="auto"/>
        <w:ind w:left="423" w:hanging="567"/>
        <w:contextualSpacing w:val="0"/>
        <w:jc w:val="both"/>
        <w:rPr>
          <w:rFonts w:ascii="Times New Roman" w:hAnsi="Times New Roman" w:cs="Times New Roman"/>
          <w:sz w:val="24"/>
          <w:szCs w:val="24"/>
        </w:rPr>
      </w:pPr>
      <w:r w:rsidRPr="00EF153E">
        <w:rPr>
          <w:rFonts w:ascii="Times New Roman" w:eastAsia="Times New Roman" w:hAnsi="Times New Roman" w:cs="Times New Roman"/>
          <w:b/>
          <w:bCs/>
          <w:iCs/>
          <w:sz w:val="24"/>
          <w:szCs w:val="24"/>
        </w:rPr>
        <w:t>Interest</w:t>
      </w:r>
      <w:r w:rsidR="00AE5FA9" w:rsidRPr="00EF153E">
        <w:rPr>
          <w:rFonts w:ascii="Times New Roman" w:eastAsia="Times New Roman" w:hAnsi="Times New Roman" w:cs="Times New Roman"/>
          <w:b/>
          <w:bCs/>
          <w:iCs/>
          <w:sz w:val="24"/>
          <w:szCs w:val="24"/>
        </w:rPr>
        <w:t xml:space="preserve"> </w:t>
      </w:r>
      <w:r w:rsidRPr="00EF153E">
        <w:rPr>
          <w:rFonts w:ascii="Times New Roman" w:eastAsia="Times New Roman" w:hAnsi="Times New Roman" w:cs="Times New Roman"/>
          <w:b/>
          <w:bCs/>
          <w:iCs/>
          <w:sz w:val="24"/>
          <w:szCs w:val="24"/>
        </w:rPr>
        <w:t>Adjustment</w:t>
      </w:r>
      <w:r w:rsidRPr="00EF153E">
        <w:rPr>
          <w:rFonts w:ascii="Times New Roman" w:hAnsi="Times New Roman" w:cs="Times New Roman"/>
          <w:b/>
          <w:sz w:val="24"/>
          <w:szCs w:val="24"/>
        </w:rPr>
        <w:t>:</w:t>
      </w:r>
    </w:p>
    <w:p w14:paraId="6B19B105" w14:textId="44675130" w:rsidR="00811828" w:rsidRPr="00EF153E" w:rsidRDefault="00EA7270" w:rsidP="00442795">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Gov</w:t>
      </w:r>
      <w:r w:rsidR="000940D5">
        <w:rPr>
          <w:rFonts w:ascii="Times New Roman" w:hAnsi="Times New Roman" w:cs="Times New Roman"/>
          <w:sz w:val="24"/>
          <w:szCs w:val="24"/>
        </w:rPr>
        <w:t xml:space="preserve">ernment is liable to pay/adjust </w:t>
      </w:r>
      <w:r w:rsidRPr="00EF153E">
        <w:rPr>
          <w:rFonts w:ascii="Times New Roman" w:hAnsi="Times New Roman" w:cs="Times New Roman"/>
          <w:sz w:val="24"/>
          <w:szCs w:val="24"/>
        </w:rPr>
        <w:t>interest in respect of balances under category J</w:t>
      </w:r>
      <w:r w:rsidR="00442795">
        <w:rPr>
          <w:rFonts w:ascii="Times New Roman" w:hAnsi="Times New Roman" w:cs="Times New Roman"/>
          <w:sz w:val="24"/>
          <w:szCs w:val="24"/>
        </w:rPr>
        <w:noBreakHyphen/>
      </w:r>
      <w:r w:rsidRPr="00EF153E">
        <w:rPr>
          <w:rFonts w:ascii="Times New Roman" w:hAnsi="Times New Roman" w:cs="Times New Roman"/>
          <w:sz w:val="24"/>
          <w:szCs w:val="24"/>
        </w:rPr>
        <w:t>Reserve Funds (a. Reserve Funds bearing interest) and K-Deposit and Advances (a.</w:t>
      </w:r>
      <w:r w:rsidR="00442795">
        <w:rPr>
          <w:rFonts w:ascii="Times New Roman" w:hAnsi="Times New Roman" w:cs="Times New Roman"/>
          <w:sz w:val="24"/>
          <w:szCs w:val="24"/>
        </w:rPr>
        <w:t> </w:t>
      </w:r>
      <w:r w:rsidRPr="00EF153E">
        <w:rPr>
          <w:rFonts w:ascii="Times New Roman" w:hAnsi="Times New Roman" w:cs="Times New Roman"/>
          <w:sz w:val="24"/>
          <w:szCs w:val="24"/>
        </w:rPr>
        <w:t>Deposits bearing interest), and for this purpose, specific Sub-Major Heads are provided in the List of Major and Minor Heads of Account.</w:t>
      </w:r>
    </w:p>
    <w:p w14:paraId="53A9023A" w14:textId="223DF316" w:rsidR="004A390D" w:rsidRPr="00EF153E" w:rsidRDefault="00EA7270" w:rsidP="00442795">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Details of these Funds/Deposits and interest paid by the Government during the year </w:t>
      </w:r>
      <w:r w:rsidR="00D8271C" w:rsidRPr="00EF153E">
        <w:rPr>
          <w:rFonts w:ascii="Times New Roman" w:hAnsi="Times New Roman" w:cs="Times New Roman"/>
          <w:sz w:val="24"/>
          <w:szCs w:val="24"/>
        </w:rPr>
        <w:t>202</w:t>
      </w:r>
      <w:r w:rsidR="00CC4CC4">
        <w:rPr>
          <w:rFonts w:ascii="Times New Roman" w:hAnsi="Times New Roman" w:cs="Times New Roman"/>
          <w:sz w:val="24"/>
          <w:szCs w:val="24"/>
        </w:rPr>
        <w:t>2</w:t>
      </w:r>
      <w:r w:rsidR="00D12A67">
        <w:rPr>
          <w:rFonts w:ascii="Times New Roman" w:hAnsi="Times New Roman" w:cs="Times New Roman"/>
          <w:sz w:val="24"/>
          <w:szCs w:val="24"/>
        </w:rPr>
        <w:noBreakHyphen/>
      </w:r>
      <w:r w:rsidR="00D8271C" w:rsidRPr="00EF153E">
        <w:rPr>
          <w:rFonts w:ascii="Times New Roman" w:hAnsi="Times New Roman" w:cs="Times New Roman"/>
          <w:sz w:val="24"/>
          <w:szCs w:val="24"/>
        </w:rPr>
        <w:t>2</w:t>
      </w:r>
      <w:r w:rsidR="00CC4CC4">
        <w:rPr>
          <w:rFonts w:ascii="Times New Roman" w:hAnsi="Times New Roman" w:cs="Times New Roman"/>
          <w:sz w:val="24"/>
          <w:szCs w:val="24"/>
        </w:rPr>
        <w:t>3</w:t>
      </w:r>
      <w:r w:rsidRPr="00EF153E">
        <w:rPr>
          <w:rFonts w:ascii="Times New Roman" w:hAnsi="Times New Roman" w:cs="Times New Roman"/>
          <w:sz w:val="24"/>
          <w:szCs w:val="24"/>
        </w:rPr>
        <w:t xml:space="preserve"> are given below:</w:t>
      </w:r>
    </w:p>
    <w:p w14:paraId="4EB1D063" w14:textId="77777777" w:rsidR="00B90901" w:rsidRDefault="00B90901">
      <w:pPr>
        <w:spacing w:after="0" w:line="240" w:lineRule="auto"/>
        <w:rPr>
          <w:rFonts w:ascii="Times New Roman" w:eastAsia="Times New Roman" w:hAnsi="Times New Roman"/>
          <w:b/>
          <w:bCs/>
          <w:iCs/>
          <w:sz w:val="24"/>
          <w:szCs w:val="24"/>
        </w:rPr>
      </w:pPr>
      <w:r>
        <w:rPr>
          <w:b/>
          <w:bCs/>
          <w:iCs/>
        </w:rPr>
        <w:br w:type="page"/>
      </w:r>
    </w:p>
    <w:p w14:paraId="7652E83B" w14:textId="08769D71" w:rsidR="008154D0" w:rsidRDefault="00B3793B" w:rsidP="00442795">
      <w:pPr>
        <w:pStyle w:val="BodyText"/>
        <w:ind w:left="360"/>
        <w:jc w:val="center"/>
        <w:rPr>
          <w:b/>
          <w:bCs/>
          <w:i/>
          <w:iCs/>
          <w:szCs w:val="22"/>
        </w:rPr>
      </w:pPr>
      <w:r w:rsidRPr="000E5CAC">
        <w:rPr>
          <w:b/>
          <w:bCs/>
          <w:iCs/>
        </w:rPr>
        <w:lastRenderedPageBreak/>
        <w:t>Table 7</w:t>
      </w:r>
      <w:r w:rsidR="000E5CAC" w:rsidRPr="000E5CAC">
        <w:rPr>
          <w:b/>
          <w:bCs/>
          <w:iCs/>
        </w:rPr>
        <w:t>:</w:t>
      </w:r>
      <w:r w:rsidRPr="000E5CAC">
        <w:rPr>
          <w:b/>
          <w:bCs/>
          <w:iCs/>
        </w:rPr>
        <w:t xml:space="preserve"> </w:t>
      </w:r>
      <w:r w:rsidR="000E5CAC" w:rsidRPr="000E5CAC">
        <w:rPr>
          <w:b/>
        </w:rPr>
        <w:t>Details of Funds/Deposits and interest paid by the Government during the year</w:t>
      </w:r>
      <w:r w:rsidR="002F7576">
        <w:rPr>
          <w:b/>
        </w:rPr>
        <w:t xml:space="preserve"> </w:t>
      </w:r>
      <w:r w:rsidR="000E5CAC" w:rsidRPr="000E5CAC">
        <w:rPr>
          <w:b/>
        </w:rPr>
        <w:t>202</w:t>
      </w:r>
      <w:r w:rsidR="00CC4CC4">
        <w:rPr>
          <w:b/>
        </w:rPr>
        <w:t>2</w:t>
      </w:r>
      <w:r w:rsidR="000E5CAC" w:rsidRPr="000E5CAC">
        <w:rPr>
          <w:b/>
        </w:rPr>
        <w:t>-2</w:t>
      </w:r>
      <w:r w:rsidR="00CC4CC4">
        <w:rPr>
          <w:b/>
        </w:rPr>
        <w:t>3</w:t>
      </w:r>
    </w:p>
    <w:p w14:paraId="1C4EC66B" w14:textId="65A422B5" w:rsidR="004A390D" w:rsidRPr="00EF153E" w:rsidRDefault="00EA7270" w:rsidP="00812893">
      <w:pPr>
        <w:pStyle w:val="BodyText"/>
        <w:ind w:left="-144" w:right="11"/>
        <w:jc w:val="right"/>
        <w:rPr>
          <w:b/>
          <w:bCs/>
          <w:i/>
          <w:iCs/>
          <w:sz w:val="18"/>
          <w:szCs w:val="18"/>
        </w:rPr>
      </w:pPr>
      <w:r w:rsidRPr="00B3793B">
        <w:rPr>
          <w:b/>
          <w:bCs/>
          <w:i/>
          <w:iCs/>
          <w:szCs w:val="22"/>
        </w:rPr>
        <w:t>(</w:t>
      </w:r>
      <w:r w:rsidR="00913B96" w:rsidRPr="00B3793B">
        <w:rPr>
          <w:b/>
          <w:bCs/>
          <w:i/>
          <w:iCs/>
          <w:szCs w:val="22"/>
        </w:rPr>
        <w:t>₹</w:t>
      </w:r>
      <w:r w:rsidR="000940D5">
        <w:rPr>
          <w:b/>
          <w:bCs/>
          <w:i/>
          <w:iCs/>
          <w:szCs w:val="22"/>
        </w:rPr>
        <w:t xml:space="preserve"> </w:t>
      </w:r>
      <w:r w:rsidRPr="00B3793B">
        <w:rPr>
          <w:b/>
          <w:bCs/>
          <w:i/>
          <w:iCs/>
          <w:szCs w:val="22"/>
        </w:rPr>
        <w:t>in crore</w:t>
      </w:r>
      <w:r w:rsidRPr="00EF153E">
        <w:rPr>
          <w:b/>
          <w:bCs/>
          <w:i/>
          <w:iCs/>
          <w:sz w:val="18"/>
          <w:szCs w:val="18"/>
        </w:rPr>
        <w:t>)</w:t>
      </w:r>
    </w:p>
    <w:tbl>
      <w:tblPr>
        <w:tblW w:w="8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046"/>
        <w:gridCol w:w="2574"/>
        <w:gridCol w:w="816"/>
        <w:gridCol w:w="816"/>
        <w:gridCol w:w="888"/>
      </w:tblGrid>
      <w:tr w:rsidR="00252B21" w:rsidRPr="00EF153E" w14:paraId="7790663D" w14:textId="77777777" w:rsidTr="00812893">
        <w:trPr>
          <w:trHeight w:val="302"/>
          <w:jc w:val="center"/>
        </w:trPr>
        <w:tc>
          <w:tcPr>
            <w:tcW w:w="2518" w:type="dxa"/>
            <w:shd w:val="clear" w:color="auto" w:fill="D9D9D9"/>
          </w:tcPr>
          <w:p w14:paraId="151EB165" w14:textId="77777777" w:rsidR="00252B21" w:rsidRPr="00EF153E" w:rsidRDefault="00252B21" w:rsidP="00C51B69">
            <w:pPr>
              <w:spacing w:before="120" w:after="120" w:line="240" w:lineRule="auto"/>
              <w:jc w:val="both"/>
              <w:rPr>
                <w:rFonts w:ascii="Times New Roman" w:eastAsia="Times New Roman" w:hAnsi="Times New Roman" w:cs="Times New Roman"/>
                <w:b/>
                <w:sz w:val="18"/>
                <w:szCs w:val="18"/>
              </w:rPr>
            </w:pPr>
            <w:r w:rsidRPr="00EF153E">
              <w:rPr>
                <w:rFonts w:ascii="Times New Roman" w:eastAsia="Times New Roman" w:hAnsi="Times New Roman" w:cs="Times New Roman"/>
                <w:b/>
                <w:sz w:val="18"/>
                <w:szCs w:val="18"/>
              </w:rPr>
              <w:t>Funds/Deposits</w:t>
            </w:r>
          </w:p>
        </w:tc>
        <w:tc>
          <w:tcPr>
            <w:tcW w:w="1046" w:type="dxa"/>
            <w:shd w:val="clear" w:color="auto" w:fill="D9D9D9"/>
          </w:tcPr>
          <w:p w14:paraId="55881DD9" w14:textId="77777777" w:rsidR="00252B21" w:rsidRPr="00EF153E" w:rsidRDefault="00252B21" w:rsidP="00EF153E">
            <w:pPr>
              <w:spacing w:before="120" w:after="120" w:line="240" w:lineRule="auto"/>
              <w:jc w:val="both"/>
              <w:rPr>
                <w:rFonts w:ascii="Times New Roman" w:eastAsia="Times New Roman" w:hAnsi="Times New Roman" w:cs="Times New Roman"/>
                <w:b/>
                <w:sz w:val="18"/>
                <w:szCs w:val="18"/>
              </w:rPr>
            </w:pPr>
            <w:r w:rsidRPr="00EF153E">
              <w:rPr>
                <w:rFonts w:ascii="Times New Roman" w:eastAsia="Times New Roman" w:hAnsi="Times New Roman" w:cs="Times New Roman"/>
                <w:b/>
                <w:sz w:val="18"/>
                <w:szCs w:val="18"/>
              </w:rPr>
              <w:t xml:space="preserve">Balance </w:t>
            </w:r>
          </w:p>
          <w:p w14:paraId="61EDE379" w14:textId="77777777" w:rsidR="00252B21" w:rsidRPr="00EF153E" w:rsidRDefault="00252B21" w:rsidP="00D8271C">
            <w:pPr>
              <w:spacing w:before="120" w:after="120" w:line="240" w:lineRule="auto"/>
              <w:jc w:val="both"/>
              <w:rPr>
                <w:rFonts w:ascii="Times New Roman" w:eastAsia="Times New Roman" w:hAnsi="Times New Roman" w:cs="Times New Roman"/>
                <w:b/>
                <w:sz w:val="18"/>
                <w:szCs w:val="18"/>
              </w:rPr>
            </w:pPr>
            <w:r w:rsidRPr="00EF153E">
              <w:rPr>
                <w:rFonts w:ascii="Times New Roman" w:eastAsia="Times New Roman" w:hAnsi="Times New Roman" w:cs="Times New Roman"/>
                <w:b/>
                <w:sz w:val="18"/>
                <w:szCs w:val="18"/>
              </w:rPr>
              <w:t xml:space="preserve">on 1 April, </w:t>
            </w:r>
            <w:r w:rsidR="00D8271C" w:rsidRPr="00EF153E">
              <w:rPr>
                <w:rFonts w:ascii="Times New Roman" w:eastAsia="Times New Roman" w:hAnsi="Times New Roman" w:cs="Times New Roman"/>
                <w:b/>
                <w:sz w:val="18"/>
                <w:szCs w:val="18"/>
              </w:rPr>
              <w:t>202</w:t>
            </w:r>
            <w:r w:rsidR="00AD218A">
              <w:rPr>
                <w:rFonts w:ascii="Times New Roman" w:eastAsia="Times New Roman" w:hAnsi="Times New Roman" w:cs="Times New Roman"/>
                <w:b/>
                <w:sz w:val="18"/>
                <w:szCs w:val="18"/>
              </w:rPr>
              <w:t>2</w:t>
            </w:r>
          </w:p>
        </w:tc>
        <w:tc>
          <w:tcPr>
            <w:tcW w:w="2574" w:type="dxa"/>
            <w:shd w:val="clear" w:color="auto" w:fill="D9D9D9"/>
          </w:tcPr>
          <w:p w14:paraId="7E3C8A65" w14:textId="77777777" w:rsidR="00252B21" w:rsidRPr="00EF153E" w:rsidRDefault="00252B21" w:rsidP="00C51B69">
            <w:pPr>
              <w:spacing w:before="120" w:after="120" w:line="240" w:lineRule="auto"/>
              <w:jc w:val="both"/>
              <w:rPr>
                <w:rFonts w:ascii="Times New Roman" w:eastAsia="Times New Roman" w:hAnsi="Times New Roman" w:cs="Times New Roman"/>
                <w:b/>
                <w:sz w:val="18"/>
                <w:szCs w:val="18"/>
              </w:rPr>
            </w:pPr>
            <w:r w:rsidRPr="00EF153E">
              <w:rPr>
                <w:rFonts w:ascii="Times New Roman" w:eastAsia="Times New Roman" w:hAnsi="Times New Roman" w:cs="Times New Roman"/>
                <w:b/>
                <w:sz w:val="18"/>
                <w:szCs w:val="18"/>
              </w:rPr>
              <w:t>Basis for calculation of interest</w:t>
            </w:r>
          </w:p>
        </w:tc>
        <w:tc>
          <w:tcPr>
            <w:tcW w:w="816" w:type="dxa"/>
            <w:shd w:val="clear" w:color="auto" w:fill="D9D9D9"/>
          </w:tcPr>
          <w:p w14:paraId="7396450A" w14:textId="77777777" w:rsidR="00252B21" w:rsidRPr="00EF153E" w:rsidRDefault="00252B21" w:rsidP="00B90901">
            <w:pPr>
              <w:spacing w:before="120" w:after="120" w:line="240" w:lineRule="auto"/>
              <w:jc w:val="center"/>
              <w:rPr>
                <w:rFonts w:ascii="Times New Roman" w:eastAsia="Times New Roman" w:hAnsi="Times New Roman" w:cs="Times New Roman"/>
                <w:b/>
                <w:sz w:val="18"/>
                <w:szCs w:val="18"/>
              </w:rPr>
            </w:pPr>
            <w:r w:rsidRPr="00EF153E">
              <w:rPr>
                <w:rFonts w:ascii="Times New Roman" w:eastAsia="Times New Roman" w:hAnsi="Times New Roman" w:cs="Times New Roman"/>
                <w:b/>
                <w:sz w:val="18"/>
                <w:szCs w:val="18"/>
              </w:rPr>
              <w:t>Interest due</w:t>
            </w:r>
          </w:p>
        </w:tc>
        <w:tc>
          <w:tcPr>
            <w:tcW w:w="816" w:type="dxa"/>
            <w:shd w:val="clear" w:color="auto" w:fill="D9D9D9"/>
          </w:tcPr>
          <w:p w14:paraId="66E396AD" w14:textId="77777777" w:rsidR="00252B21" w:rsidRPr="00EF153E" w:rsidRDefault="00252B21" w:rsidP="00B90901">
            <w:pPr>
              <w:spacing w:before="120" w:after="120" w:line="240" w:lineRule="auto"/>
              <w:jc w:val="center"/>
              <w:rPr>
                <w:rFonts w:ascii="Times New Roman" w:eastAsia="Times New Roman" w:hAnsi="Times New Roman" w:cs="Times New Roman"/>
                <w:b/>
                <w:sz w:val="18"/>
                <w:szCs w:val="18"/>
              </w:rPr>
            </w:pPr>
            <w:r w:rsidRPr="00EF153E">
              <w:rPr>
                <w:rFonts w:ascii="Times New Roman" w:eastAsia="Times New Roman" w:hAnsi="Times New Roman" w:cs="Times New Roman"/>
                <w:b/>
                <w:sz w:val="18"/>
                <w:szCs w:val="18"/>
              </w:rPr>
              <w:t>Interest paid</w:t>
            </w:r>
          </w:p>
        </w:tc>
        <w:tc>
          <w:tcPr>
            <w:tcW w:w="888" w:type="dxa"/>
            <w:shd w:val="clear" w:color="auto" w:fill="D9D9D9"/>
          </w:tcPr>
          <w:p w14:paraId="44186967" w14:textId="77777777" w:rsidR="00252B21" w:rsidRPr="00EF153E" w:rsidRDefault="00252B21" w:rsidP="00B90901">
            <w:pPr>
              <w:spacing w:before="120" w:after="120" w:line="240" w:lineRule="auto"/>
              <w:jc w:val="center"/>
              <w:rPr>
                <w:rFonts w:ascii="Times New Roman" w:eastAsia="Times New Roman" w:hAnsi="Times New Roman" w:cs="Times New Roman"/>
                <w:b/>
                <w:sz w:val="18"/>
                <w:szCs w:val="18"/>
              </w:rPr>
            </w:pPr>
            <w:r w:rsidRPr="00EF153E">
              <w:rPr>
                <w:rFonts w:ascii="Times New Roman" w:eastAsia="Times New Roman" w:hAnsi="Times New Roman" w:cs="Times New Roman"/>
                <w:b/>
                <w:sz w:val="18"/>
                <w:szCs w:val="18"/>
              </w:rPr>
              <w:t>Interest short paid</w:t>
            </w:r>
          </w:p>
        </w:tc>
      </w:tr>
      <w:tr w:rsidR="00252B21" w:rsidRPr="00EF153E" w14:paraId="6480CE20" w14:textId="77777777" w:rsidTr="00812893">
        <w:trPr>
          <w:trHeight w:val="463"/>
          <w:jc w:val="center"/>
        </w:trPr>
        <w:tc>
          <w:tcPr>
            <w:tcW w:w="2518" w:type="dxa"/>
          </w:tcPr>
          <w:p w14:paraId="79AF197C" w14:textId="77777777" w:rsidR="006F52B7" w:rsidRDefault="00DA472D" w:rsidP="006F52B7">
            <w:pPr>
              <w:spacing w:before="120" w:after="0" w:line="240" w:lineRule="auto"/>
              <w:jc w:val="both"/>
              <w:rPr>
                <w:rFonts w:ascii="Times New Roman" w:eastAsia="Times New Roman" w:hAnsi="Times New Roman" w:cs="Times New Roman"/>
                <w:sz w:val="20"/>
              </w:rPr>
            </w:pPr>
            <w:r w:rsidRPr="006F52B7">
              <w:rPr>
                <w:rFonts w:ascii="Times New Roman" w:eastAsia="Times New Roman" w:hAnsi="Times New Roman" w:cs="Times New Roman"/>
                <w:sz w:val="20"/>
              </w:rPr>
              <w:t>8342-Other Deposits/</w:t>
            </w:r>
          </w:p>
          <w:p w14:paraId="4D719678" w14:textId="77777777" w:rsidR="00252B21" w:rsidRPr="006F52B7" w:rsidRDefault="00DA472D" w:rsidP="006F52B7">
            <w:pPr>
              <w:spacing w:before="120" w:after="0" w:line="240" w:lineRule="auto"/>
              <w:jc w:val="both"/>
              <w:rPr>
                <w:rFonts w:ascii="Times New Roman" w:eastAsia="Times New Roman" w:hAnsi="Times New Roman" w:cs="Times New Roman"/>
                <w:sz w:val="20"/>
              </w:rPr>
            </w:pPr>
            <w:r w:rsidRPr="006F52B7">
              <w:rPr>
                <w:rFonts w:ascii="Times New Roman" w:eastAsia="Times New Roman" w:hAnsi="Times New Roman" w:cs="Times New Roman"/>
                <w:sz w:val="20"/>
              </w:rPr>
              <w:t>117-</w:t>
            </w:r>
            <w:r w:rsidR="00252B21" w:rsidRPr="006F52B7">
              <w:rPr>
                <w:rFonts w:ascii="Times New Roman" w:eastAsia="Times New Roman" w:hAnsi="Times New Roman" w:cs="Times New Roman"/>
                <w:sz w:val="20"/>
              </w:rPr>
              <w:t>Defined Contribution Pension Scheme for Government Employees</w:t>
            </w:r>
          </w:p>
        </w:tc>
        <w:tc>
          <w:tcPr>
            <w:tcW w:w="1046" w:type="dxa"/>
          </w:tcPr>
          <w:p w14:paraId="19A64D24" w14:textId="77777777" w:rsidR="00252B21" w:rsidRPr="00143B3F" w:rsidRDefault="00CC4CC4" w:rsidP="00EF153E">
            <w:pPr>
              <w:keepNext/>
              <w:keepLines/>
              <w:spacing w:before="120" w:after="120" w:line="240" w:lineRule="auto"/>
              <w:jc w:val="center"/>
              <w:outlineLvl w:val="2"/>
              <w:rPr>
                <w:rFonts w:ascii="Times New Roman" w:eastAsia="Times New Roman" w:hAnsi="Times New Roman" w:cs="Times New Roman"/>
                <w:szCs w:val="18"/>
              </w:rPr>
            </w:pPr>
            <w:r>
              <w:rPr>
                <w:rFonts w:ascii="Times New Roman" w:eastAsia="Times New Roman" w:hAnsi="Times New Roman" w:cs="Times New Roman"/>
                <w:szCs w:val="18"/>
              </w:rPr>
              <w:t>182.76</w:t>
            </w:r>
          </w:p>
        </w:tc>
        <w:tc>
          <w:tcPr>
            <w:tcW w:w="2574" w:type="dxa"/>
          </w:tcPr>
          <w:p w14:paraId="1BEA25DD" w14:textId="35616404" w:rsidR="00252B21" w:rsidRPr="006F52B7" w:rsidRDefault="00252B21" w:rsidP="00B90901">
            <w:pPr>
              <w:spacing w:before="120" w:after="120" w:line="240" w:lineRule="auto"/>
              <w:jc w:val="both"/>
              <w:rPr>
                <w:rFonts w:ascii="Times New Roman" w:eastAsia="Times New Roman" w:hAnsi="Times New Roman" w:cs="Times New Roman"/>
                <w:b/>
                <w:sz w:val="20"/>
              </w:rPr>
            </w:pPr>
            <w:r w:rsidRPr="006F52B7">
              <w:rPr>
                <w:rFonts w:ascii="Times New Roman" w:eastAsia="Times New Roman" w:hAnsi="Times New Roman" w:cs="Times New Roman"/>
                <w:bCs/>
                <w:sz w:val="20"/>
                <w:lang w:val="en-IN"/>
              </w:rPr>
              <w:t>Interest calculated as per the rate of interest notified by the Government/payable to General Provident Fund</w:t>
            </w:r>
            <w:r w:rsidR="00D8271C" w:rsidRPr="006F52B7">
              <w:rPr>
                <w:rFonts w:ascii="Times New Roman" w:eastAsia="Times New Roman" w:hAnsi="Times New Roman" w:cs="Times New Roman"/>
                <w:bCs/>
                <w:sz w:val="20"/>
                <w:lang w:val="en-IN"/>
              </w:rPr>
              <w:t xml:space="preserve"> </w:t>
            </w:r>
            <w:r w:rsidR="00B90901">
              <w:rPr>
                <w:rFonts w:ascii="Times New Roman" w:eastAsia="Times New Roman" w:hAnsi="Times New Roman" w:cs="Times New Roman"/>
                <w:bCs/>
                <w:sz w:val="20"/>
                <w:lang w:val="en-IN"/>
              </w:rPr>
              <w:br/>
            </w:r>
            <w:r w:rsidR="00D8271C" w:rsidRPr="006F52B7">
              <w:rPr>
                <w:rFonts w:ascii="Times New Roman" w:eastAsia="Times New Roman" w:hAnsi="Times New Roman" w:cs="Times New Roman"/>
                <w:bCs/>
                <w:sz w:val="20"/>
                <w:lang w:val="en-IN"/>
              </w:rPr>
              <w:t>(7.1</w:t>
            </w:r>
            <w:r w:rsidR="00B90901">
              <w:rPr>
                <w:rFonts w:ascii="Times New Roman" w:eastAsia="Times New Roman" w:hAnsi="Times New Roman" w:cs="Times New Roman"/>
                <w:bCs/>
                <w:sz w:val="20"/>
                <w:lang w:val="en-IN"/>
              </w:rPr>
              <w:t xml:space="preserve"> </w:t>
            </w:r>
            <w:r w:rsidR="00B90901" w:rsidRPr="006F52B7">
              <w:rPr>
                <w:rFonts w:ascii="Times New Roman" w:eastAsia="Times New Roman" w:hAnsi="Times New Roman" w:cs="Times New Roman"/>
                <w:i/>
                <w:sz w:val="20"/>
              </w:rPr>
              <w:t>per cent</w:t>
            </w:r>
            <w:r w:rsidR="00D8271C" w:rsidRPr="006F52B7">
              <w:rPr>
                <w:rFonts w:ascii="Times New Roman" w:eastAsia="Times New Roman" w:hAnsi="Times New Roman" w:cs="Times New Roman"/>
                <w:bCs/>
                <w:sz w:val="20"/>
                <w:lang w:val="en-IN"/>
              </w:rPr>
              <w:t>)</w:t>
            </w:r>
          </w:p>
        </w:tc>
        <w:tc>
          <w:tcPr>
            <w:tcW w:w="816" w:type="dxa"/>
          </w:tcPr>
          <w:p w14:paraId="00BB4337" w14:textId="77777777" w:rsidR="00252B21" w:rsidRPr="00143B3F" w:rsidRDefault="00727E42" w:rsidP="00143B3F">
            <w:pPr>
              <w:keepNext/>
              <w:keepLines/>
              <w:spacing w:before="120" w:after="120" w:line="240" w:lineRule="auto"/>
              <w:jc w:val="center"/>
              <w:outlineLvl w:val="2"/>
              <w:rPr>
                <w:rFonts w:ascii="Times New Roman" w:eastAsia="Times New Roman" w:hAnsi="Times New Roman" w:cs="Times New Roman"/>
                <w:szCs w:val="22"/>
              </w:rPr>
            </w:pPr>
            <w:r>
              <w:rPr>
                <w:rFonts w:ascii="Times New Roman" w:eastAsia="Times New Roman" w:hAnsi="Times New Roman" w:cs="Times New Roman"/>
                <w:szCs w:val="22"/>
              </w:rPr>
              <w:t>12.98</w:t>
            </w:r>
          </w:p>
        </w:tc>
        <w:tc>
          <w:tcPr>
            <w:tcW w:w="816" w:type="dxa"/>
          </w:tcPr>
          <w:p w14:paraId="2B0E43BD" w14:textId="77777777" w:rsidR="00252B21" w:rsidRPr="00143B3F" w:rsidRDefault="00D8271C" w:rsidP="00143B3F">
            <w:pPr>
              <w:keepNext/>
              <w:keepLines/>
              <w:spacing w:before="120" w:after="120" w:line="240" w:lineRule="auto"/>
              <w:jc w:val="center"/>
              <w:outlineLvl w:val="2"/>
              <w:rPr>
                <w:rFonts w:ascii="Times New Roman" w:eastAsia="Times New Roman" w:hAnsi="Times New Roman" w:cs="Times New Roman"/>
                <w:szCs w:val="22"/>
              </w:rPr>
            </w:pPr>
            <w:r w:rsidRPr="00143B3F">
              <w:rPr>
                <w:rFonts w:ascii="Times New Roman" w:eastAsia="Times New Roman" w:hAnsi="Times New Roman" w:cs="Times New Roman"/>
                <w:szCs w:val="22"/>
              </w:rPr>
              <w:t>Nil</w:t>
            </w:r>
          </w:p>
        </w:tc>
        <w:tc>
          <w:tcPr>
            <w:tcW w:w="888" w:type="dxa"/>
          </w:tcPr>
          <w:p w14:paraId="5D496A53" w14:textId="77777777" w:rsidR="00252B21" w:rsidRPr="00143B3F" w:rsidRDefault="00727E42" w:rsidP="00143B3F">
            <w:pPr>
              <w:keepNext/>
              <w:keepLines/>
              <w:spacing w:before="120" w:after="120" w:line="240" w:lineRule="auto"/>
              <w:jc w:val="center"/>
              <w:outlineLvl w:val="2"/>
              <w:rPr>
                <w:rFonts w:ascii="Times New Roman" w:eastAsia="Times New Roman" w:hAnsi="Times New Roman" w:cs="Times New Roman"/>
                <w:szCs w:val="22"/>
              </w:rPr>
            </w:pPr>
            <w:r>
              <w:rPr>
                <w:rFonts w:ascii="Times New Roman" w:eastAsia="Times New Roman" w:hAnsi="Times New Roman" w:cs="Times New Roman"/>
                <w:szCs w:val="22"/>
              </w:rPr>
              <w:t>12.98</w:t>
            </w:r>
          </w:p>
        </w:tc>
      </w:tr>
      <w:tr w:rsidR="00252B21" w:rsidRPr="00EF153E" w14:paraId="4D471DF1" w14:textId="77777777" w:rsidTr="00812893">
        <w:trPr>
          <w:trHeight w:val="420"/>
          <w:jc w:val="center"/>
        </w:trPr>
        <w:tc>
          <w:tcPr>
            <w:tcW w:w="2518" w:type="dxa"/>
          </w:tcPr>
          <w:p w14:paraId="3C708D39" w14:textId="77777777" w:rsidR="00DA472D" w:rsidRPr="006F52B7" w:rsidRDefault="00C467C7" w:rsidP="006F52B7">
            <w:pPr>
              <w:spacing w:after="0" w:line="240" w:lineRule="auto"/>
              <w:jc w:val="both"/>
              <w:rPr>
                <w:rFonts w:ascii="Times New Roman" w:eastAsia="Times New Roman" w:hAnsi="Times New Roman" w:cs="Times New Roman"/>
                <w:sz w:val="20"/>
              </w:rPr>
            </w:pPr>
            <w:r w:rsidRPr="006F52B7">
              <w:rPr>
                <w:rFonts w:ascii="Times New Roman" w:eastAsia="Times New Roman" w:hAnsi="Times New Roman" w:cs="Times New Roman"/>
                <w:sz w:val="20"/>
              </w:rPr>
              <w:t>8121</w:t>
            </w:r>
            <w:r w:rsidR="00DA472D" w:rsidRPr="006F52B7">
              <w:rPr>
                <w:rFonts w:ascii="Times New Roman" w:eastAsia="Times New Roman" w:hAnsi="Times New Roman" w:cs="Times New Roman"/>
                <w:sz w:val="20"/>
              </w:rPr>
              <w:t>-</w:t>
            </w:r>
            <w:r w:rsidR="00AD218A" w:rsidRPr="006F52B7">
              <w:rPr>
                <w:rFonts w:ascii="Times New Roman" w:eastAsia="Times New Roman" w:hAnsi="Times New Roman" w:cs="Times New Roman"/>
                <w:sz w:val="20"/>
              </w:rPr>
              <w:t>General and Other Reserve Funds/</w:t>
            </w:r>
          </w:p>
          <w:p w14:paraId="44E69741" w14:textId="77777777" w:rsidR="00252B21" w:rsidRPr="006F52B7" w:rsidRDefault="00AD218A" w:rsidP="006F52B7">
            <w:pPr>
              <w:spacing w:after="0" w:line="240" w:lineRule="auto"/>
              <w:jc w:val="both"/>
              <w:rPr>
                <w:rFonts w:ascii="Times New Roman" w:eastAsia="Times New Roman" w:hAnsi="Times New Roman" w:cs="Times New Roman"/>
                <w:b/>
                <w:sz w:val="20"/>
              </w:rPr>
            </w:pPr>
            <w:r w:rsidRPr="006F52B7">
              <w:rPr>
                <w:rFonts w:ascii="Times New Roman" w:eastAsia="Times New Roman" w:hAnsi="Times New Roman" w:cs="Times New Roman"/>
                <w:sz w:val="20"/>
              </w:rPr>
              <w:t>129</w:t>
            </w:r>
            <w:r w:rsidR="00DA472D" w:rsidRPr="006F52B7">
              <w:rPr>
                <w:rFonts w:ascii="Times New Roman" w:eastAsia="Times New Roman" w:hAnsi="Times New Roman" w:cs="Times New Roman"/>
                <w:sz w:val="20"/>
              </w:rPr>
              <w:t>-</w:t>
            </w:r>
            <w:r w:rsidR="00252B21" w:rsidRPr="006F52B7">
              <w:rPr>
                <w:rFonts w:ascii="Times New Roman" w:eastAsia="Times New Roman" w:hAnsi="Times New Roman" w:cs="Times New Roman"/>
                <w:sz w:val="20"/>
              </w:rPr>
              <w:t xml:space="preserve">State Compensatory </w:t>
            </w:r>
            <w:r w:rsidR="00D8271C" w:rsidRPr="006F52B7">
              <w:rPr>
                <w:rFonts w:ascii="Times New Roman" w:eastAsia="Times New Roman" w:hAnsi="Times New Roman" w:cs="Times New Roman"/>
                <w:sz w:val="20"/>
              </w:rPr>
              <w:t>Af</w:t>
            </w:r>
            <w:r w:rsidRPr="006F52B7">
              <w:rPr>
                <w:rFonts w:ascii="Times New Roman" w:eastAsia="Times New Roman" w:hAnsi="Times New Roman" w:cs="Times New Roman"/>
                <w:sz w:val="20"/>
              </w:rPr>
              <w:t>forestation Fund (SCAF)</w:t>
            </w:r>
          </w:p>
        </w:tc>
        <w:tc>
          <w:tcPr>
            <w:tcW w:w="1046" w:type="dxa"/>
          </w:tcPr>
          <w:p w14:paraId="5D456065" w14:textId="77777777" w:rsidR="00252B21" w:rsidRPr="00143B3F" w:rsidRDefault="00CC4CC4" w:rsidP="00EF153E">
            <w:pPr>
              <w:keepNext/>
              <w:keepLines/>
              <w:spacing w:before="120" w:after="120" w:line="240" w:lineRule="auto"/>
              <w:jc w:val="center"/>
              <w:outlineLvl w:val="2"/>
              <w:rPr>
                <w:rFonts w:ascii="Times New Roman" w:eastAsia="Times New Roman" w:hAnsi="Times New Roman" w:cs="Times New Roman"/>
                <w:szCs w:val="18"/>
              </w:rPr>
            </w:pPr>
            <w:r>
              <w:rPr>
                <w:rFonts w:ascii="Times New Roman" w:eastAsia="Times New Roman" w:hAnsi="Times New Roman" w:cs="Times New Roman"/>
                <w:szCs w:val="18"/>
              </w:rPr>
              <w:t>273.27</w:t>
            </w:r>
          </w:p>
        </w:tc>
        <w:tc>
          <w:tcPr>
            <w:tcW w:w="2574" w:type="dxa"/>
          </w:tcPr>
          <w:p w14:paraId="498FDCFB" w14:textId="11E25188" w:rsidR="00252B21" w:rsidRPr="006F52B7" w:rsidRDefault="00252B21" w:rsidP="00B90901">
            <w:pPr>
              <w:spacing w:before="120" w:after="120" w:line="240" w:lineRule="auto"/>
              <w:jc w:val="both"/>
              <w:rPr>
                <w:rFonts w:ascii="Times New Roman" w:eastAsia="Times New Roman" w:hAnsi="Times New Roman" w:cs="Times New Roman"/>
                <w:b/>
                <w:sz w:val="20"/>
              </w:rPr>
            </w:pPr>
            <w:r w:rsidRPr="006F52B7">
              <w:rPr>
                <w:rFonts w:ascii="Times New Roman" w:eastAsia="Times New Roman" w:hAnsi="Times New Roman" w:cs="Times New Roman"/>
                <w:color w:val="000000"/>
                <w:sz w:val="20"/>
                <w:lang w:eastAsia="en-IN"/>
              </w:rPr>
              <w:t xml:space="preserve">As per </w:t>
            </w:r>
            <w:r w:rsidR="00DF429A" w:rsidRPr="006F52B7">
              <w:rPr>
                <w:rFonts w:ascii="Times New Roman" w:eastAsia="Times New Roman" w:hAnsi="Times New Roman" w:cs="Times New Roman"/>
                <w:color w:val="000000"/>
                <w:sz w:val="20"/>
                <w:lang w:eastAsia="en-IN"/>
              </w:rPr>
              <w:t xml:space="preserve">circulars issued by the </w:t>
            </w:r>
            <w:r w:rsidRPr="006F52B7">
              <w:rPr>
                <w:rFonts w:ascii="Times New Roman" w:eastAsia="Times New Roman" w:hAnsi="Times New Roman" w:cs="Times New Roman"/>
                <w:color w:val="000000"/>
                <w:sz w:val="20"/>
                <w:lang w:eastAsia="en-IN"/>
              </w:rPr>
              <w:t>Ministry of Environment, Forest &amp; Climate Change</w:t>
            </w:r>
            <w:r w:rsidR="00D8271C" w:rsidRPr="006F52B7">
              <w:rPr>
                <w:rFonts w:ascii="Times New Roman" w:eastAsia="Times New Roman" w:hAnsi="Times New Roman" w:cs="Times New Roman"/>
                <w:color w:val="000000"/>
                <w:sz w:val="20"/>
                <w:lang w:eastAsia="en-IN"/>
              </w:rPr>
              <w:t xml:space="preserve"> (3.</w:t>
            </w:r>
            <w:r w:rsidR="00C55154" w:rsidRPr="006F52B7">
              <w:rPr>
                <w:rFonts w:ascii="Times New Roman" w:eastAsia="Times New Roman" w:hAnsi="Times New Roman" w:cs="Times New Roman"/>
                <w:color w:val="000000"/>
                <w:sz w:val="20"/>
                <w:lang w:eastAsia="en-IN"/>
              </w:rPr>
              <w:t>35</w:t>
            </w:r>
            <w:r w:rsidR="00B90901">
              <w:rPr>
                <w:rFonts w:ascii="Times New Roman" w:eastAsia="Times New Roman" w:hAnsi="Times New Roman" w:cs="Times New Roman"/>
                <w:color w:val="000000"/>
                <w:sz w:val="20"/>
                <w:lang w:eastAsia="en-IN"/>
              </w:rPr>
              <w:t xml:space="preserve"> </w:t>
            </w:r>
            <w:r w:rsidR="00B90901" w:rsidRPr="006F52B7">
              <w:rPr>
                <w:rFonts w:ascii="Times New Roman" w:eastAsia="Times New Roman" w:hAnsi="Times New Roman" w:cs="Times New Roman"/>
                <w:i/>
                <w:sz w:val="20"/>
              </w:rPr>
              <w:t>per cent</w:t>
            </w:r>
            <w:r w:rsidR="00D8271C" w:rsidRPr="006F52B7">
              <w:rPr>
                <w:rFonts w:ascii="Times New Roman" w:eastAsia="Times New Roman" w:hAnsi="Times New Roman" w:cs="Times New Roman"/>
                <w:color w:val="000000"/>
                <w:sz w:val="20"/>
                <w:lang w:eastAsia="en-IN"/>
              </w:rPr>
              <w:t>)</w:t>
            </w:r>
          </w:p>
        </w:tc>
        <w:tc>
          <w:tcPr>
            <w:tcW w:w="816" w:type="dxa"/>
          </w:tcPr>
          <w:p w14:paraId="2F1D5E4E" w14:textId="77777777" w:rsidR="00252B21" w:rsidRPr="00143B3F" w:rsidRDefault="00CC4CC4" w:rsidP="00C55154">
            <w:pPr>
              <w:keepNext/>
              <w:keepLines/>
              <w:spacing w:before="120" w:after="120" w:line="240" w:lineRule="auto"/>
              <w:jc w:val="center"/>
              <w:outlineLvl w:val="2"/>
              <w:rPr>
                <w:rFonts w:ascii="Times New Roman" w:eastAsia="Times New Roman" w:hAnsi="Times New Roman" w:cs="Times New Roman"/>
                <w:szCs w:val="22"/>
              </w:rPr>
            </w:pPr>
            <w:r>
              <w:rPr>
                <w:rFonts w:ascii="Times New Roman" w:eastAsia="Times New Roman" w:hAnsi="Times New Roman" w:cs="Times New Roman"/>
                <w:szCs w:val="22"/>
              </w:rPr>
              <w:t>9.15</w:t>
            </w:r>
          </w:p>
        </w:tc>
        <w:tc>
          <w:tcPr>
            <w:tcW w:w="816" w:type="dxa"/>
          </w:tcPr>
          <w:p w14:paraId="14B79701" w14:textId="77777777" w:rsidR="00252B21" w:rsidRPr="00143B3F" w:rsidRDefault="00D8271C" w:rsidP="00143B3F">
            <w:pPr>
              <w:keepNext/>
              <w:keepLines/>
              <w:spacing w:before="120" w:after="120" w:line="240" w:lineRule="auto"/>
              <w:jc w:val="center"/>
              <w:outlineLvl w:val="2"/>
              <w:rPr>
                <w:rFonts w:ascii="Times New Roman" w:eastAsia="Times New Roman" w:hAnsi="Times New Roman" w:cs="Times New Roman"/>
                <w:szCs w:val="22"/>
              </w:rPr>
            </w:pPr>
            <w:r w:rsidRPr="00143B3F">
              <w:rPr>
                <w:rFonts w:ascii="Times New Roman" w:eastAsia="Times New Roman" w:hAnsi="Times New Roman" w:cs="Times New Roman"/>
                <w:szCs w:val="22"/>
              </w:rPr>
              <w:t>Nil</w:t>
            </w:r>
          </w:p>
        </w:tc>
        <w:tc>
          <w:tcPr>
            <w:tcW w:w="888" w:type="dxa"/>
          </w:tcPr>
          <w:p w14:paraId="6228AB79" w14:textId="77777777" w:rsidR="00252B21" w:rsidRPr="00143B3F" w:rsidRDefault="00AD218A" w:rsidP="00C55154">
            <w:pPr>
              <w:keepNext/>
              <w:keepLines/>
              <w:spacing w:before="120" w:after="120" w:line="240" w:lineRule="auto"/>
              <w:jc w:val="center"/>
              <w:outlineLvl w:val="2"/>
              <w:rPr>
                <w:rFonts w:ascii="Times New Roman" w:eastAsia="Times New Roman" w:hAnsi="Times New Roman" w:cs="Times New Roman"/>
                <w:szCs w:val="22"/>
              </w:rPr>
            </w:pPr>
            <w:r>
              <w:rPr>
                <w:rFonts w:ascii="Times New Roman" w:eastAsia="Times New Roman" w:hAnsi="Times New Roman" w:cs="Times New Roman"/>
                <w:szCs w:val="22"/>
              </w:rPr>
              <w:t>9.15</w:t>
            </w:r>
          </w:p>
        </w:tc>
      </w:tr>
      <w:tr w:rsidR="009C5605" w:rsidRPr="00EF153E" w14:paraId="0A88893D" w14:textId="77777777" w:rsidTr="00812893">
        <w:trPr>
          <w:trHeight w:val="283"/>
          <w:jc w:val="center"/>
        </w:trPr>
        <w:tc>
          <w:tcPr>
            <w:tcW w:w="2518" w:type="dxa"/>
          </w:tcPr>
          <w:p w14:paraId="3C54905A" w14:textId="77777777" w:rsidR="009C5605" w:rsidRDefault="009C5605" w:rsidP="009C5605">
            <w:pPr>
              <w:keepNext/>
              <w:keepLines/>
              <w:spacing w:after="0" w:line="240" w:lineRule="auto"/>
              <w:jc w:val="both"/>
              <w:outlineLvl w:val="2"/>
              <w:rPr>
                <w:rFonts w:ascii="Times New Roman" w:eastAsia="Times New Roman" w:hAnsi="Times New Roman" w:cs="Times New Roman"/>
                <w:sz w:val="20"/>
              </w:rPr>
            </w:pPr>
            <w:r>
              <w:rPr>
                <w:rFonts w:ascii="Times New Roman" w:eastAsia="Times New Roman" w:hAnsi="Times New Roman" w:cs="Times New Roman"/>
                <w:sz w:val="20"/>
              </w:rPr>
              <w:t>8336- Civil Deposits</w:t>
            </w:r>
          </w:p>
          <w:p w14:paraId="13329275" w14:textId="77777777" w:rsidR="009C5605" w:rsidRPr="006F52B7" w:rsidRDefault="009C5605" w:rsidP="009C5605">
            <w:pPr>
              <w:keepNext/>
              <w:keepLines/>
              <w:spacing w:after="0" w:line="240" w:lineRule="auto"/>
              <w:jc w:val="both"/>
              <w:outlineLvl w:val="2"/>
              <w:rPr>
                <w:rFonts w:ascii="Times New Roman" w:eastAsia="Times New Roman" w:hAnsi="Times New Roman" w:cs="Times New Roman"/>
                <w:sz w:val="20"/>
              </w:rPr>
            </w:pPr>
            <w:r>
              <w:rPr>
                <w:rFonts w:ascii="Times New Roman" w:eastAsia="Times New Roman" w:hAnsi="Times New Roman" w:cs="Times New Roman"/>
                <w:sz w:val="20"/>
              </w:rPr>
              <w:t>800- Other Deposits</w:t>
            </w:r>
          </w:p>
        </w:tc>
        <w:tc>
          <w:tcPr>
            <w:tcW w:w="1046" w:type="dxa"/>
          </w:tcPr>
          <w:p w14:paraId="16294A1B" w14:textId="77777777" w:rsidR="009C5605" w:rsidRPr="00143B3F" w:rsidRDefault="009C5605" w:rsidP="009C5605">
            <w:pPr>
              <w:keepNext/>
              <w:keepLines/>
              <w:spacing w:after="120" w:line="240" w:lineRule="auto"/>
              <w:jc w:val="center"/>
              <w:outlineLvl w:val="2"/>
              <w:rPr>
                <w:rFonts w:ascii="Times New Roman" w:eastAsia="Times New Roman" w:hAnsi="Times New Roman" w:cs="Times New Roman"/>
                <w:szCs w:val="18"/>
              </w:rPr>
            </w:pPr>
            <w:r w:rsidRPr="00143B3F">
              <w:rPr>
                <w:rFonts w:ascii="Times New Roman" w:eastAsia="Times New Roman" w:hAnsi="Times New Roman" w:cs="Times New Roman"/>
                <w:szCs w:val="18"/>
              </w:rPr>
              <w:t>2.36</w:t>
            </w:r>
          </w:p>
        </w:tc>
        <w:tc>
          <w:tcPr>
            <w:tcW w:w="2574" w:type="dxa"/>
          </w:tcPr>
          <w:p w14:paraId="490C98BE" w14:textId="4C5AB2C9" w:rsidR="009C5605" w:rsidRPr="004332D1" w:rsidRDefault="009C5605" w:rsidP="00713001">
            <w:pPr>
              <w:spacing w:before="120" w:after="120" w:line="240" w:lineRule="auto"/>
              <w:jc w:val="both"/>
              <w:rPr>
                <w:rFonts w:ascii="Times New Roman" w:eastAsia="Times New Roman" w:hAnsi="Times New Roman" w:cs="Times New Roman"/>
                <w:color w:val="000000"/>
                <w:sz w:val="20"/>
                <w:lang w:eastAsia="en-IN"/>
              </w:rPr>
            </w:pPr>
            <w:r w:rsidRPr="006F52B7">
              <w:rPr>
                <w:rFonts w:ascii="Times New Roman" w:eastAsia="Times New Roman" w:hAnsi="Times New Roman" w:cs="Times New Roman"/>
                <w:sz w:val="20"/>
              </w:rPr>
              <w:t>Interest calculated at the r</w:t>
            </w:r>
            <w:r>
              <w:rPr>
                <w:rFonts w:ascii="Times New Roman" w:eastAsia="Times New Roman" w:hAnsi="Times New Roman" w:cs="Times New Roman"/>
                <w:sz w:val="20"/>
              </w:rPr>
              <w:t>ate on Ways and Means Advance (5.</w:t>
            </w:r>
            <w:r w:rsidR="00713001">
              <w:rPr>
                <w:rFonts w:ascii="Times New Roman" w:eastAsia="Times New Roman" w:hAnsi="Times New Roman" w:cs="Times New Roman"/>
                <w:sz w:val="20"/>
              </w:rPr>
              <w:t>49</w:t>
            </w:r>
            <w:r w:rsidR="00713001" w:rsidRPr="006F52B7">
              <w:rPr>
                <w:rFonts w:ascii="Times New Roman" w:eastAsia="Times New Roman" w:hAnsi="Times New Roman" w:cs="Times New Roman"/>
                <w:sz w:val="20"/>
              </w:rPr>
              <w:t xml:space="preserve"> </w:t>
            </w:r>
            <w:r w:rsidRPr="006F52B7">
              <w:rPr>
                <w:rFonts w:ascii="Times New Roman" w:eastAsia="Times New Roman" w:hAnsi="Times New Roman" w:cs="Times New Roman"/>
                <w:i/>
                <w:sz w:val="20"/>
              </w:rPr>
              <w:t>per cent</w:t>
            </w:r>
            <w:r w:rsidRPr="006F52B7">
              <w:rPr>
                <w:rFonts w:ascii="Times New Roman" w:eastAsia="Times New Roman" w:hAnsi="Times New Roman" w:cs="Times New Roman"/>
                <w:sz w:val="20"/>
              </w:rPr>
              <w:t>)</w:t>
            </w:r>
          </w:p>
        </w:tc>
        <w:tc>
          <w:tcPr>
            <w:tcW w:w="816" w:type="dxa"/>
          </w:tcPr>
          <w:p w14:paraId="034C8DF0" w14:textId="1330ACF7" w:rsidR="009C5605" w:rsidRPr="00143B3F" w:rsidRDefault="009C5605" w:rsidP="00EF3106">
            <w:pPr>
              <w:keepNext/>
              <w:keepLines/>
              <w:spacing w:after="120" w:line="240" w:lineRule="auto"/>
              <w:jc w:val="center"/>
              <w:outlineLvl w:val="2"/>
              <w:rPr>
                <w:rFonts w:ascii="Times New Roman" w:eastAsia="Times New Roman" w:hAnsi="Times New Roman" w:cs="Times New Roman"/>
                <w:szCs w:val="22"/>
              </w:rPr>
            </w:pPr>
            <w:r w:rsidRPr="00143B3F">
              <w:rPr>
                <w:rFonts w:ascii="Times New Roman" w:eastAsia="Times New Roman" w:hAnsi="Times New Roman" w:cs="Times New Roman"/>
                <w:szCs w:val="22"/>
              </w:rPr>
              <w:t>0.</w:t>
            </w:r>
            <w:r w:rsidR="00EF3106">
              <w:rPr>
                <w:rFonts w:ascii="Times New Roman" w:eastAsia="Times New Roman" w:hAnsi="Times New Roman" w:cs="Times New Roman"/>
                <w:szCs w:val="22"/>
              </w:rPr>
              <w:t>13</w:t>
            </w:r>
          </w:p>
        </w:tc>
        <w:tc>
          <w:tcPr>
            <w:tcW w:w="816" w:type="dxa"/>
          </w:tcPr>
          <w:p w14:paraId="2AEDECA8" w14:textId="77777777" w:rsidR="009C5605" w:rsidRPr="00143B3F" w:rsidRDefault="009C5605" w:rsidP="009C5605">
            <w:pPr>
              <w:keepNext/>
              <w:keepLines/>
              <w:spacing w:after="120" w:line="240" w:lineRule="auto"/>
              <w:jc w:val="center"/>
              <w:outlineLvl w:val="2"/>
              <w:rPr>
                <w:rFonts w:ascii="Times New Roman" w:eastAsia="Times New Roman" w:hAnsi="Times New Roman" w:cs="Times New Roman"/>
                <w:szCs w:val="22"/>
              </w:rPr>
            </w:pPr>
            <w:r w:rsidRPr="00143B3F">
              <w:rPr>
                <w:rFonts w:ascii="Times New Roman" w:eastAsia="Times New Roman" w:hAnsi="Times New Roman" w:cs="Times New Roman"/>
                <w:szCs w:val="22"/>
              </w:rPr>
              <w:t>Nil</w:t>
            </w:r>
          </w:p>
        </w:tc>
        <w:tc>
          <w:tcPr>
            <w:tcW w:w="888" w:type="dxa"/>
          </w:tcPr>
          <w:p w14:paraId="049CB2EB" w14:textId="797459FF" w:rsidR="009C5605" w:rsidRPr="00143B3F" w:rsidRDefault="0028763E" w:rsidP="009C5605">
            <w:pPr>
              <w:keepNext/>
              <w:keepLines/>
              <w:spacing w:after="120" w:line="240" w:lineRule="auto"/>
              <w:jc w:val="center"/>
              <w:outlineLvl w:val="2"/>
              <w:rPr>
                <w:rFonts w:ascii="Times New Roman" w:eastAsia="Times New Roman" w:hAnsi="Times New Roman" w:cs="Times New Roman"/>
                <w:szCs w:val="22"/>
              </w:rPr>
            </w:pPr>
            <w:r>
              <w:rPr>
                <w:rFonts w:ascii="Times New Roman" w:eastAsia="Times New Roman" w:hAnsi="Times New Roman" w:cs="Times New Roman"/>
                <w:szCs w:val="22"/>
              </w:rPr>
              <w:t>0</w:t>
            </w:r>
            <w:r w:rsidR="004B0E09">
              <w:rPr>
                <w:rFonts w:ascii="Times New Roman" w:eastAsia="Times New Roman" w:hAnsi="Times New Roman" w:cs="Times New Roman"/>
                <w:szCs w:val="22"/>
              </w:rPr>
              <w:t>.13</w:t>
            </w:r>
          </w:p>
        </w:tc>
      </w:tr>
      <w:tr w:rsidR="00275436" w:rsidRPr="00EF153E" w14:paraId="185A2D9B" w14:textId="77777777" w:rsidTr="00812893">
        <w:trPr>
          <w:trHeight w:val="446"/>
          <w:jc w:val="center"/>
        </w:trPr>
        <w:tc>
          <w:tcPr>
            <w:tcW w:w="2518" w:type="dxa"/>
          </w:tcPr>
          <w:p w14:paraId="33058E8D" w14:textId="77777777" w:rsidR="006F52B7" w:rsidRPr="006F52B7" w:rsidRDefault="00DA472D" w:rsidP="006F52B7">
            <w:pPr>
              <w:keepNext/>
              <w:keepLines/>
              <w:spacing w:after="0" w:line="240" w:lineRule="auto"/>
              <w:outlineLvl w:val="2"/>
              <w:rPr>
                <w:rFonts w:ascii="Times New Roman" w:eastAsia="Times New Roman" w:hAnsi="Times New Roman" w:cs="Times New Roman"/>
                <w:sz w:val="20"/>
              </w:rPr>
            </w:pPr>
            <w:r w:rsidRPr="006F52B7">
              <w:rPr>
                <w:rFonts w:ascii="Times New Roman" w:eastAsia="Times New Roman" w:hAnsi="Times New Roman" w:cs="Times New Roman"/>
                <w:sz w:val="20"/>
              </w:rPr>
              <w:t>8121-General and Other Reserve Funds/</w:t>
            </w:r>
          </w:p>
          <w:p w14:paraId="773A8332" w14:textId="77777777" w:rsidR="00275436" w:rsidRPr="006F52B7" w:rsidRDefault="00DA472D" w:rsidP="006F52B7">
            <w:pPr>
              <w:keepNext/>
              <w:keepLines/>
              <w:spacing w:after="0" w:line="240" w:lineRule="auto"/>
              <w:outlineLvl w:val="2"/>
              <w:rPr>
                <w:rFonts w:ascii="Times New Roman" w:eastAsia="Times New Roman" w:hAnsi="Times New Roman" w:cs="Times New Roman"/>
                <w:sz w:val="20"/>
              </w:rPr>
            </w:pPr>
            <w:r w:rsidRPr="006F52B7">
              <w:rPr>
                <w:rFonts w:ascii="Times New Roman" w:eastAsia="Times New Roman" w:hAnsi="Times New Roman" w:cs="Times New Roman"/>
                <w:sz w:val="20"/>
              </w:rPr>
              <w:t>122-</w:t>
            </w:r>
            <w:r w:rsidR="00424EEA" w:rsidRPr="006F52B7">
              <w:rPr>
                <w:rFonts w:ascii="Times New Roman" w:eastAsia="Times New Roman" w:hAnsi="Times New Roman" w:cs="Times New Roman"/>
                <w:sz w:val="20"/>
              </w:rPr>
              <w:t>State Disaster Response Fund</w:t>
            </w:r>
          </w:p>
        </w:tc>
        <w:tc>
          <w:tcPr>
            <w:tcW w:w="1046" w:type="dxa"/>
          </w:tcPr>
          <w:p w14:paraId="1AC81C6A" w14:textId="77777777" w:rsidR="00275436" w:rsidRPr="00143B3F" w:rsidRDefault="00B0705F" w:rsidP="00EF153E">
            <w:pPr>
              <w:keepNext/>
              <w:keepLines/>
              <w:spacing w:before="120" w:after="120" w:line="240" w:lineRule="auto"/>
              <w:jc w:val="center"/>
              <w:outlineLvl w:val="2"/>
              <w:rPr>
                <w:rFonts w:ascii="Times New Roman" w:eastAsia="Times New Roman" w:hAnsi="Times New Roman" w:cs="Times New Roman"/>
                <w:szCs w:val="18"/>
              </w:rPr>
            </w:pPr>
            <w:r>
              <w:rPr>
                <w:rFonts w:ascii="Times New Roman" w:eastAsia="Times New Roman" w:hAnsi="Times New Roman" w:cs="Times New Roman"/>
                <w:szCs w:val="18"/>
              </w:rPr>
              <w:t>63.41</w:t>
            </w:r>
          </w:p>
        </w:tc>
        <w:tc>
          <w:tcPr>
            <w:tcW w:w="2574" w:type="dxa"/>
          </w:tcPr>
          <w:p w14:paraId="09F6BCBE" w14:textId="30F70AD9" w:rsidR="00275436" w:rsidRPr="006F52B7" w:rsidRDefault="00424EEA" w:rsidP="00D000B9">
            <w:pPr>
              <w:keepNext/>
              <w:keepLines/>
              <w:spacing w:before="120" w:after="120" w:line="240" w:lineRule="auto"/>
              <w:outlineLvl w:val="2"/>
              <w:rPr>
                <w:rFonts w:ascii="Times New Roman" w:eastAsia="Times New Roman" w:hAnsi="Times New Roman" w:cs="Times New Roman"/>
                <w:sz w:val="20"/>
              </w:rPr>
            </w:pPr>
            <w:r w:rsidRPr="006F52B7">
              <w:rPr>
                <w:rFonts w:ascii="Times New Roman" w:eastAsia="Times New Roman" w:hAnsi="Times New Roman" w:cs="Times New Roman"/>
                <w:sz w:val="20"/>
              </w:rPr>
              <w:t>Inte</w:t>
            </w:r>
            <w:r w:rsidR="00106575" w:rsidRPr="006F52B7">
              <w:rPr>
                <w:rFonts w:ascii="Times New Roman" w:eastAsia="Times New Roman" w:hAnsi="Times New Roman" w:cs="Times New Roman"/>
                <w:sz w:val="20"/>
              </w:rPr>
              <w:t>rest calculated at the rate on W</w:t>
            </w:r>
            <w:r w:rsidRPr="006F52B7">
              <w:rPr>
                <w:rFonts w:ascii="Times New Roman" w:eastAsia="Times New Roman" w:hAnsi="Times New Roman" w:cs="Times New Roman"/>
                <w:sz w:val="20"/>
              </w:rPr>
              <w:t>ays and Means Advance (</w:t>
            </w:r>
            <w:r w:rsidR="00D000B9">
              <w:rPr>
                <w:rFonts w:ascii="Times New Roman" w:eastAsia="Times New Roman" w:hAnsi="Times New Roman" w:cs="Times New Roman"/>
                <w:sz w:val="20"/>
              </w:rPr>
              <w:t>7</w:t>
            </w:r>
            <w:r w:rsidR="00713001">
              <w:rPr>
                <w:rFonts w:ascii="Times New Roman" w:eastAsia="Times New Roman" w:hAnsi="Times New Roman" w:cs="Times New Roman"/>
                <w:sz w:val="20"/>
              </w:rPr>
              <w:t>.49</w:t>
            </w:r>
            <w:r w:rsidRPr="006F52B7">
              <w:rPr>
                <w:rFonts w:ascii="Times New Roman" w:eastAsia="Times New Roman" w:hAnsi="Times New Roman" w:cs="Times New Roman"/>
                <w:sz w:val="20"/>
              </w:rPr>
              <w:t xml:space="preserve"> </w:t>
            </w:r>
            <w:r w:rsidRPr="006F52B7">
              <w:rPr>
                <w:rFonts w:ascii="Times New Roman" w:eastAsia="Times New Roman" w:hAnsi="Times New Roman" w:cs="Times New Roman"/>
                <w:i/>
                <w:sz w:val="20"/>
              </w:rPr>
              <w:t>per cent</w:t>
            </w:r>
            <w:r w:rsidRPr="006F52B7">
              <w:rPr>
                <w:rFonts w:ascii="Times New Roman" w:eastAsia="Times New Roman" w:hAnsi="Times New Roman" w:cs="Times New Roman"/>
                <w:sz w:val="20"/>
              </w:rPr>
              <w:t>).</w:t>
            </w:r>
          </w:p>
        </w:tc>
        <w:tc>
          <w:tcPr>
            <w:tcW w:w="816" w:type="dxa"/>
          </w:tcPr>
          <w:p w14:paraId="59B37B45" w14:textId="0E0C6172" w:rsidR="00275436" w:rsidRPr="00143B3F" w:rsidRDefault="00D000B9" w:rsidP="004B0E09">
            <w:pPr>
              <w:keepNext/>
              <w:keepLines/>
              <w:spacing w:before="120" w:after="120" w:line="240" w:lineRule="auto"/>
              <w:jc w:val="center"/>
              <w:outlineLvl w:val="2"/>
              <w:rPr>
                <w:rFonts w:ascii="Times New Roman" w:eastAsia="Times New Roman" w:hAnsi="Times New Roman" w:cs="Times New Roman"/>
                <w:szCs w:val="22"/>
              </w:rPr>
            </w:pPr>
            <w:r>
              <w:rPr>
                <w:rFonts w:ascii="Times New Roman" w:eastAsia="Times New Roman" w:hAnsi="Times New Roman" w:cs="Times New Roman"/>
                <w:szCs w:val="22"/>
              </w:rPr>
              <w:t>4.75</w:t>
            </w:r>
          </w:p>
        </w:tc>
        <w:tc>
          <w:tcPr>
            <w:tcW w:w="816" w:type="dxa"/>
          </w:tcPr>
          <w:p w14:paraId="558CF363" w14:textId="77777777" w:rsidR="00275436" w:rsidRPr="00143B3F" w:rsidRDefault="00424EEA" w:rsidP="00EF153E">
            <w:pPr>
              <w:keepNext/>
              <w:keepLines/>
              <w:spacing w:before="120" w:after="120" w:line="240" w:lineRule="auto"/>
              <w:jc w:val="center"/>
              <w:outlineLvl w:val="2"/>
              <w:rPr>
                <w:rFonts w:ascii="Times New Roman" w:eastAsia="Times New Roman" w:hAnsi="Times New Roman" w:cs="Times New Roman"/>
                <w:szCs w:val="22"/>
              </w:rPr>
            </w:pPr>
            <w:r w:rsidRPr="00143B3F">
              <w:rPr>
                <w:rFonts w:ascii="Times New Roman" w:eastAsia="Times New Roman" w:hAnsi="Times New Roman" w:cs="Times New Roman"/>
                <w:szCs w:val="22"/>
              </w:rPr>
              <w:t>Nil</w:t>
            </w:r>
          </w:p>
        </w:tc>
        <w:tc>
          <w:tcPr>
            <w:tcW w:w="888" w:type="dxa"/>
          </w:tcPr>
          <w:p w14:paraId="1B61F755" w14:textId="2176BD65" w:rsidR="00275436" w:rsidRPr="00143B3F" w:rsidRDefault="00D000B9" w:rsidP="002642DC">
            <w:pPr>
              <w:keepNext/>
              <w:keepLines/>
              <w:spacing w:before="120" w:after="120" w:line="240" w:lineRule="auto"/>
              <w:jc w:val="center"/>
              <w:outlineLvl w:val="2"/>
              <w:rPr>
                <w:rFonts w:ascii="Times New Roman" w:eastAsia="Times New Roman" w:hAnsi="Times New Roman" w:cs="Times New Roman"/>
                <w:szCs w:val="22"/>
              </w:rPr>
            </w:pPr>
            <w:r>
              <w:rPr>
                <w:rFonts w:ascii="Times New Roman" w:eastAsia="Times New Roman" w:hAnsi="Times New Roman" w:cs="Times New Roman"/>
                <w:szCs w:val="22"/>
              </w:rPr>
              <w:t>4.75</w:t>
            </w:r>
          </w:p>
        </w:tc>
      </w:tr>
      <w:tr w:rsidR="00252B21" w:rsidRPr="00EF153E" w14:paraId="2F82C372" w14:textId="77777777" w:rsidTr="00812893">
        <w:trPr>
          <w:trHeight w:val="144"/>
          <w:jc w:val="center"/>
        </w:trPr>
        <w:tc>
          <w:tcPr>
            <w:tcW w:w="6138" w:type="dxa"/>
            <w:gridSpan w:val="3"/>
            <w:vAlign w:val="center"/>
          </w:tcPr>
          <w:p w14:paraId="56944FD9" w14:textId="77777777" w:rsidR="00252B21" w:rsidRPr="00EF153E" w:rsidRDefault="00252B21" w:rsidP="00C01957">
            <w:pPr>
              <w:keepNext/>
              <w:keepLines/>
              <w:spacing w:before="120" w:after="120" w:line="240" w:lineRule="auto"/>
              <w:jc w:val="center"/>
              <w:outlineLvl w:val="2"/>
              <w:rPr>
                <w:rFonts w:ascii="Times New Roman" w:eastAsia="Times New Roman" w:hAnsi="Times New Roman" w:cs="Times New Roman"/>
                <w:b/>
                <w:szCs w:val="22"/>
              </w:rPr>
            </w:pPr>
            <w:r w:rsidRPr="00EF153E">
              <w:rPr>
                <w:rFonts w:ascii="Times New Roman" w:eastAsia="Times New Roman" w:hAnsi="Times New Roman" w:cs="Times New Roman"/>
                <w:b/>
                <w:szCs w:val="22"/>
              </w:rPr>
              <w:t>Total</w:t>
            </w:r>
          </w:p>
        </w:tc>
        <w:tc>
          <w:tcPr>
            <w:tcW w:w="816" w:type="dxa"/>
            <w:vAlign w:val="center"/>
          </w:tcPr>
          <w:p w14:paraId="12C82F0C" w14:textId="23977A05" w:rsidR="00252B21" w:rsidRPr="00EF153E" w:rsidRDefault="004B0E09" w:rsidP="00C01957">
            <w:pPr>
              <w:keepNext/>
              <w:keepLines/>
              <w:spacing w:before="120" w:after="120" w:line="240" w:lineRule="auto"/>
              <w:jc w:val="center"/>
              <w:outlineLvl w:val="2"/>
              <w:rPr>
                <w:rFonts w:ascii="Times New Roman" w:eastAsia="Times New Roman" w:hAnsi="Times New Roman" w:cs="Times New Roman"/>
                <w:b/>
                <w:szCs w:val="22"/>
              </w:rPr>
            </w:pPr>
            <w:r>
              <w:rPr>
                <w:rFonts w:ascii="Times New Roman" w:eastAsia="Times New Roman" w:hAnsi="Times New Roman" w:cs="Times New Roman"/>
                <w:b/>
                <w:szCs w:val="22"/>
              </w:rPr>
              <w:t>2</w:t>
            </w:r>
            <w:r w:rsidR="00D000B9">
              <w:rPr>
                <w:rFonts w:ascii="Times New Roman" w:eastAsia="Times New Roman" w:hAnsi="Times New Roman" w:cs="Times New Roman"/>
                <w:b/>
                <w:szCs w:val="22"/>
              </w:rPr>
              <w:t>7</w:t>
            </w:r>
            <w:r>
              <w:rPr>
                <w:rFonts w:ascii="Times New Roman" w:eastAsia="Times New Roman" w:hAnsi="Times New Roman" w:cs="Times New Roman"/>
                <w:b/>
                <w:szCs w:val="22"/>
              </w:rPr>
              <w:t>.</w:t>
            </w:r>
            <w:r w:rsidR="00D000B9">
              <w:rPr>
                <w:rFonts w:ascii="Times New Roman" w:eastAsia="Times New Roman" w:hAnsi="Times New Roman" w:cs="Times New Roman"/>
                <w:b/>
                <w:szCs w:val="22"/>
              </w:rPr>
              <w:t>01</w:t>
            </w:r>
          </w:p>
        </w:tc>
        <w:tc>
          <w:tcPr>
            <w:tcW w:w="816" w:type="dxa"/>
            <w:vAlign w:val="center"/>
          </w:tcPr>
          <w:p w14:paraId="24C19276" w14:textId="77777777" w:rsidR="00252B21" w:rsidRPr="00EF153E" w:rsidRDefault="002642DC" w:rsidP="00C01957">
            <w:pPr>
              <w:keepNext/>
              <w:keepLines/>
              <w:spacing w:before="120" w:after="120" w:line="240" w:lineRule="auto"/>
              <w:jc w:val="center"/>
              <w:outlineLvl w:val="2"/>
              <w:rPr>
                <w:rFonts w:ascii="Times New Roman" w:eastAsia="Times New Roman" w:hAnsi="Times New Roman" w:cs="Times New Roman"/>
                <w:b/>
                <w:szCs w:val="22"/>
              </w:rPr>
            </w:pPr>
            <w:r>
              <w:rPr>
                <w:rFonts w:ascii="Times New Roman" w:eastAsia="Times New Roman" w:hAnsi="Times New Roman" w:cs="Times New Roman"/>
                <w:b/>
                <w:szCs w:val="22"/>
              </w:rPr>
              <w:t>Nil</w:t>
            </w:r>
          </w:p>
        </w:tc>
        <w:tc>
          <w:tcPr>
            <w:tcW w:w="888" w:type="dxa"/>
            <w:vAlign w:val="center"/>
          </w:tcPr>
          <w:p w14:paraId="311C8E10" w14:textId="4399585D" w:rsidR="00252B21" w:rsidRPr="00EF153E" w:rsidRDefault="00D000B9" w:rsidP="00C01957">
            <w:pPr>
              <w:keepNext/>
              <w:keepLines/>
              <w:spacing w:before="120" w:after="120" w:line="240" w:lineRule="auto"/>
              <w:jc w:val="center"/>
              <w:outlineLvl w:val="2"/>
              <w:rPr>
                <w:rFonts w:ascii="Times New Roman" w:eastAsia="Times New Roman" w:hAnsi="Times New Roman" w:cs="Times New Roman"/>
                <w:b/>
                <w:szCs w:val="22"/>
              </w:rPr>
            </w:pPr>
            <w:r>
              <w:rPr>
                <w:rFonts w:ascii="Times New Roman" w:eastAsia="Times New Roman" w:hAnsi="Times New Roman" w:cs="Times New Roman"/>
                <w:b/>
                <w:szCs w:val="22"/>
              </w:rPr>
              <w:t>27.01</w:t>
            </w:r>
          </w:p>
        </w:tc>
      </w:tr>
    </w:tbl>
    <w:p w14:paraId="53D2E258" w14:textId="701AD87F" w:rsidR="006F1DCD" w:rsidRDefault="00EA7270" w:rsidP="00442795">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Non-payment/short payment of the interest </w:t>
      </w:r>
      <w:r w:rsidR="00D636DA" w:rsidRPr="00EF153E">
        <w:rPr>
          <w:rFonts w:ascii="Times New Roman" w:hAnsi="Times New Roman" w:cs="Times New Roman"/>
          <w:sz w:val="24"/>
          <w:szCs w:val="24"/>
        </w:rPr>
        <w:t xml:space="preserve">amounting to </w:t>
      </w:r>
      <w:r w:rsidR="00913B96" w:rsidRPr="00F04982">
        <w:rPr>
          <w:rFonts w:ascii="Times New Roman" w:hAnsi="Times New Roman" w:cs="Times New Roman"/>
          <w:sz w:val="24"/>
          <w:szCs w:val="24"/>
        </w:rPr>
        <w:t>₹</w:t>
      </w:r>
      <w:r w:rsidR="008B76BA" w:rsidRPr="00F04982">
        <w:rPr>
          <w:rFonts w:ascii="Times New Roman" w:hAnsi="Times New Roman" w:cs="Times New Roman"/>
          <w:sz w:val="24"/>
          <w:szCs w:val="24"/>
        </w:rPr>
        <w:t>2</w:t>
      </w:r>
      <w:r w:rsidR="00D000B9">
        <w:rPr>
          <w:rFonts w:ascii="Times New Roman" w:hAnsi="Times New Roman" w:cs="Times New Roman"/>
          <w:sz w:val="24"/>
          <w:szCs w:val="24"/>
        </w:rPr>
        <w:t>7</w:t>
      </w:r>
      <w:r w:rsidR="008B76BA" w:rsidRPr="00F04982">
        <w:rPr>
          <w:rFonts w:ascii="Times New Roman" w:hAnsi="Times New Roman" w:cs="Times New Roman"/>
          <w:sz w:val="24"/>
          <w:szCs w:val="24"/>
        </w:rPr>
        <w:t>.</w:t>
      </w:r>
      <w:r w:rsidR="00D000B9">
        <w:rPr>
          <w:rFonts w:ascii="Times New Roman" w:hAnsi="Times New Roman" w:cs="Times New Roman"/>
          <w:sz w:val="24"/>
          <w:szCs w:val="24"/>
        </w:rPr>
        <w:t>01</w:t>
      </w:r>
      <w:r w:rsidR="00D8271C" w:rsidRPr="00EF153E">
        <w:rPr>
          <w:rFonts w:ascii="Times New Roman" w:hAnsi="Times New Roman" w:cs="Times New Roman"/>
          <w:sz w:val="24"/>
          <w:szCs w:val="24"/>
        </w:rPr>
        <w:t xml:space="preserve"> </w:t>
      </w:r>
      <w:r w:rsidRPr="00EF153E">
        <w:rPr>
          <w:rFonts w:ascii="Times New Roman" w:hAnsi="Times New Roman" w:cs="Times New Roman"/>
          <w:sz w:val="24"/>
          <w:szCs w:val="24"/>
        </w:rPr>
        <w:t xml:space="preserve">crore has </w:t>
      </w:r>
      <w:r w:rsidR="00CC3FC3">
        <w:rPr>
          <w:rFonts w:ascii="Times New Roman" w:hAnsi="Times New Roman" w:cs="Times New Roman"/>
          <w:sz w:val="24"/>
          <w:szCs w:val="24"/>
        </w:rPr>
        <w:t xml:space="preserve">resulted in </w:t>
      </w:r>
      <w:r w:rsidR="00354C77">
        <w:rPr>
          <w:rFonts w:ascii="Times New Roman" w:hAnsi="Times New Roman" w:cs="Times New Roman"/>
          <w:sz w:val="24"/>
          <w:szCs w:val="24"/>
        </w:rPr>
        <w:t xml:space="preserve">understatement of </w:t>
      </w:r>
      <w:r w:rsidR="00CC3FC3">
        <w:rPr>
          <w:rFonts w:ascii="Times New Roman" w:hAnsi="Times New Roman" w:cs="Times New Roman"/>
          <w:sz w:val="24"/>
          <w:szCs w:val="24"/>
        </w:rPr>
        <w:t>R</w:t>
      </w:r>
      <w:r w:rsidR="00354C77">
        <w:rPr>
          <w:rFonts w:ascii="Times New Roman" w:hAnsi="Times New Roman" w:cs="Times New Roman"/>
          <w:sz w:val="24"/>
          <w:szCs w:val="24"/>
        </w:rPr>
        <w:t xml:space="preserve">evenue </w:t>
      </w:r>
      <w:r w:rsidR="00CC3FC3">
        <w:rPr>
          <w:rFonts w:ascii="Times New Roman" w:hAnsi="Times New Roman" w:cs="Times New Roman"/>
          <w:sz w:val="24"/>
          <w:szCs w:val="24"/>
        </w:rPr>
        <w:t>E</w:t>
      </w:r>
      <w:r w:rsidR="00354C77">
        <w:rPr>
          <w:rFonts w:ascii="Times New Roman" w:hAnsi="Times New Roman" w:cs="Times New Roman"/>
          <w:sz w:val="24"/>
          <w:szCs w:val="24"/>
        </w:rPr>
        <w:t xml:space="preserve">xpenditure </w:t>
      </w:r>
      <w:r w:rsidRPr="00EF153E">
        <w:rPr>
          <w:rFonts w:ascii="Times New Roman" w:hAnsi="Times New Roman" w:cs="Times New Roman"/>
          <w:sz w:val="24"/>
          <w:szCs w:val="24"/>
        </w:rPr>
        <w:t xml:space="preserve">by </w:t>
      </w:r>
      <w:r w:rsidR="00913B96" w:rsidRPr="00F04982">
        <w:rPr>
          <w:rFonts w:ascii="Times New Roman" w:hAnsi="Times New Roman" w:cs="Times New Roman"/>
          <w:sz w:val="24"/>
          <w:szCs w:val="24"/>
        </w:rPr>
        <w:t>₹</w:t>
      </w:r>
      <w:r w:rsidR="00634902" w:rsidRPr="00F04982">
        <w:rPr>
          <w:rFonts w:ascii="Times New Roman" w:hAnsi="Times New Roman" w:cs="Times New Roman"/>
          <w:sz w:val="24"/>
          <w:szCs w:val="24"/>
        </w:rPr>
        <w:t>2</w:t>
      </w:r>
      <w:r w:rsidR="00D000B9">
        <w:rPr>
          <w:rFonts w:ascii="Times New Roman" w:hAnsi="Times New Roman" w:cs="Times New Roman"/>
          <w:sz w:val="24"/>
          <w:szCs w:val="24"/>
        </w:rPr>
        <w:t>7</w:t>
      </w:r>
      <w:r w:rsidR="00634902">
        <w:rPr>
          <w:rFonts w:ascii="Times New Roman" w:hAnsi="Times New Roman" w:cs="Times New Roman"/>
          <w:sz w:val="24"/>
          <w:szCs w:val="24"/>
        </w:rPr>
        <w:t>.</w:t>
      </w:r>
      <w:r w:rsidR="00D000B9">
        <w:rPr>
          <w:rFonts w:ascii="Times New Roman" w:hAnsi="Times New Roman" w:cs="Times New Roman"/>
          <w:sz w:val="24"/>
          <w:szCs w:val="24"/>
        </w:rPr>
        <w:t>01</w:t>
      </w:r>
      <w:r w:rsidRPr="00EF153E">
        <w:rPr>
          <w:rFonts w:ascii="Times New Roman" w:hAnsi="Times New Roman" w:cs="Times New Roman"/>
          <w:sz w:val="24"/>
          <w:szCs w:val="24"/>
        </w:rPr>
        <w:t xml:space="preserve"> crore. </w:t>
      </w:r>
    </w:p>
    <w:p w14:paraId="5C423018" w14:textId="77777777" w:rsidR="00DA472D" w:rsidRPr="00DA472D" w:rsidRDefault="00DA472D" w:rsidP="006F52B7">
      <w:pPr>
        <w:widowControl w:val="0"/>
        <w:autoSpaceDE w:val="0"/>
        <w:autoSpaceDN w:val="0"/>
        <w:adjustRightInd w:val="0"/>
        <w:spacing w:after="120" w:line="288" w:lineRule="auto"/>
        <w:ind w:left="357"/>
        <w:jc w:val="both"/>
        <w:rPr>
          <w:rFonts w:ascii="Times New Roman" w:hAnsi="Times New Roman" w:cs="Times New Roman"/>
          <w:i/>
          <w:sz w:val="24"/>
          <w:szCs w:val="24"/>
        </w:rPr>
      </w:pPr>
      <w:r w:rsidRPr="00DA472D">
        <w:rPr>
          <w:rFonts w:ascii="Times New Roman" w:hAnsi="Times New Roman" w:cs="Times New Roman"/>
          <w:i/>
          <w:sz w:val="24"/>
          <w:szCs w:val="24"/>
        </w:rPr>
        <w:t>This has reference to figures in Statements 15, 21 and 22 of the Finance Accounts.</w:t>
      </w:r>
    </w:p>
    <w:p w14:paraId="723BF8A9" w14:textId="77777777" w:rsidR="00E92636" w:rsidRPr="00EF153E" w:rsidRDefault="00095B2E" w:rsidP="00C01957">
      <w:pPr>
        <w:pStyle w:val="ListParagraph"/>
        <w:widowControl w:val="0"/>
        <w:numPr>
          <w:ilvl w:val="0"/>
          <w:numId w:val="20"/>
        </w:numPr>
        <w:autoSpaceDE w:val="0"/>
        <w:autoSpaceDN w:val="0"/>
        <w:adjustRightInd w:val="0"/>
        <w:spacing w:before="240" w:after="240" w:line="288" w:lineRule="auto"/>
        <w:contextualSpacing w:val="0"/>
        <w:jc w:val="both"/>
        <w:rPr>
          <w:rFonts w:ascii="Times New Roman" w:hAnsi="Times New Roman" w:cs="Times New Roman"/>
          <w:sz w:val="24"/>
          <w:szCs w:val="24"/>
        </w:rPr>
      </w:pPr>
      <w:r w:rsidRPr="00EF153E">
        <w:rPr>
          <w:rFonts w:ascii="Times New Roman" w:eastAsia="Times New Roman" w:hAnsi="Times New Roman" w:cs="Times New Roman"/>
          <w:b/>
          <w:bCs/>
          <w:iCs/>
          <w:sz w:val="24"/>
          <w:szCs w:val="24"/>
        </w:rPr>
        <w:t>Guarantees</w:t>
      </w:r>
      <w:r w:rsidRPr="00EF153E">
        <w:rPr>
          <w:rFonts w:ascii="Times New Roman" w:hAnsi="Times New Roman" w:cs="Times New Roman"/>
          <w:b/>
          <w:bCs/>
          <w:sz w:val="24"/>
          <w:szCs w:val="24"/>
        </w:rPr>
        <w:t xml:space="preserve"> given by the Government:</w:t>
      </w:r>
    </w:p>
    <w:p w14:paraId="01BF5379" w14:textId="5D2B59F5" w:rsidR="0001094E" w:rsidRDefault="00095B2E" w:rsidP="0001094E">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In terms of the </w:t>
      </w:r>
      <w:r w:rsidR="001D438C" w:rsidRPr="00EF153E">
        <w:rPr>
          <w:rFonts w:ascii="Times New Roman" w:hAnsi="Times New Roman" w:cs="Times New Roman"/>
          <w:sz w:val="24"/>
          <w:szCs w:val="24"/>
        </w:rPr>
        <w:t>Manipur Ceiling o</w:t>
      </w:r>
      <w:r w:rsidR="00C55154">
        <w:rPr>
          <w:rFonts w:ascii="Times New Roman" w:hAnsi="Times New Roman" w:cs="Times New Roman"/>
          <w:sz w:val="24"/>
          <w:szCs w:val="24"/>
        </w:rPr>
        <w:t>n</w:t>
      </w:r>
      <w:r w:rsidRPr="00EF153E">
        <w:rPr>
          <w:rFonts w:ascii="Times New Roman" w:hAnsi="Times New Roman" w:cs="Times New Roman"/>
          <w:sz w:val="24"/>
          <w:szCs w:val="24"/>
        </w:rPr>
        <w:t xml:space="preserve"> Government Guarantees Act, </w:t>
      </w:r>
      <w:r w:rsidR="001D438C" w:rsidRPr="00EF153E">
        <w:rPr>
          <w:rFonts w:ascii="Times New Roman" w:hAnsi="Times New Roman" w:cs="Times New Roman"/>
          <w:sz w:val="24"/>
          <w:szCs w:val="24"/>
        </w:rPr>
        <w:t>2004</w:t>
      </w:r>
      <w:r w:rsidRPr="00EF153E">
        <w:rPr>
          <w:rFonts w:ascii="Times New Roman" w:hAnsi="Times New Roman" w:cs="Times New Roman"/>
          <w:sz w:val="24"/>
          <w:szCs w:val="24"/>
        </w:rPr>
        <w:t xml:space="preserve">, the total outstanding Government Guarantees as on the first day of April of any year shall not exceed </w:t>
      </w:r>
      <w:r w:rsidR="001D438C" w:rsidRPr="00EF153E">
        <w:rPr>
          <w:rFonts w:ascii="Times New Roman" w:hAnsi="Times New Roman" w:cs="Times New Roman"/>
          <w:sz w:val="24"/>
          <w:szCs w:val="24"/>
        </w:rPr>
        <w:t>thrice</w:t>
      </w:r>
      <w:r w:rsidRPr="00EF153E">
        <w:rPr>
          <w:rFonts w:ascii="Times New Roman" w:hAnsi="Times New Roman" w:cs="Times New Roman"/>
          <w:sz w:val="24"/>
          <w:szCs w:val="24"/>
        </w:rPr>
        <w:t xml:space="preserve"> the State</w:t>
      </w:r>
      <w:r w:rsidR="00C55154">
        <w:rPr>
          <w:rFonts w:ascii="Times New Roman" w:hAnsi="Times New Roman" w:cs="Times New Roman"/>
          <w:sz w:val="24"/>
          <w:szCs w:val="24"/>
        </w:rPr>
        <w:t>’s</w:t>
      </w:r>
      <w:r w:rsidRPr="00EF153E">
        <w:rPr>
          <w:rFonts w:ascii="Times New Roman" w:hAnsi="Times New Roman" w:cs="Times New Roman"/>
          <w:sz w:val="24"/>
          <w:szCs w:val="24"/>
        </w:rPr>
        <w:t xml:space="preserve"> </w:t>
      </w:r>
      <w:r w:rsidR="00143B3F">
        <w:rPr>
          <w:rFonts w:ascii="Times New Roman" w:hAnsi="Times New Roman" w:cs="Times New Roman"/>
          <w:sz w:val="24"/>
          <w:szCs w:val="24"/>
        </w:rPr>
        <w:t>O</w:t>
      </w:r>
      <w:r w:rsidR="001D438C" w:rsidRPr="00EF153E">
        <w:rPr>
          <w:rFonts w:ascii="Times New Roman" w:hAnsi="Times New Roman" w:cs="Times New Roman"/>
          <w:sz w:val="24"/>
          <w:szCs w:val="24"/>
        </w:rPr>
        <w:t>wn Tax Revenue</w:t>
      </w:r>
      <w:r w:rsidRPr="00EF153E">
        <w:rPr>
          <w:rFonts w:ascii="Times New Roman" w:hAnsi="Times New Roman" w:cs="Times New Roman"/>
          <w:sz w:val="24"/>
          <w:szCs w:val="24"/>
        </w:rPr>
        <w:t xml:space="preserve"> Receipts of the second preceding year. During the year, </w:t>
      </w:r>
      <w:r w:rsidR="00106575">
        <w:rPr>
          <w:rFonts w:ascii="Times New Roman" w:hAnsi="Times New Roman" w:cs="Times New Roman"/>
          <w:sz w:val="24"/>
          <w:szCs w:val="24"/>
        </w:rPr>
        <w:t>the</w:t>
      </w:r>
      <w:r w:rsidRPr="00EF153E">
        <w:rPr>
          <w:rFonts w:ascii="Times New Roman" w:hAnsi="Times New Roman" w:cs="Times New Roman"/>
          <w:sz w:val="24"/>
          <w:szCs w:val="24"/>
        </w:rPr>
        <w:t xml:space="preserve"> amount guaranteed by the State Government is </w:t>
      </w:r>
      <w:hyperlink r:id="rId19" w:history="1">
        <w:r w:rsidR="00EF153E">
          <w:rPr>
            <w:rStyle w:val="Hyperlink"/>
            <w:rFonts w:ascii="Times New Roman" w:hAnsi="Times New Roman" w:cs="Times New Roman"/>
            <w:color w:val="auto"/>
            <w:sz w:val="24"/>
            <w:szCs w:val="24"/>
            <w:u w:val="none"/>
          </w:rPr>
          <w:t>₹</w:t>
        </w:r>
      </w:hyperlink>
      <w:r w:rsidR="0008154C">
        <w:rPr>
          <w:rFonts w:ascii="Times New Roman" w:hAnsi="Times New Roman" w:cs="Times New Roman"/>
          <w:sz w:val="24"/>
          <w:szCs w:val="24"/>
        </w:rPr>
        <w:t>308.61</w:t>
      </w:r>
      <w:r w:rsidR="001D438C" w:rsidRPr="00EF153E">
        <w:rPr>
          <w:rFonts w:ascii="Times New Roman" w:hAnsi="Times New Roman" w:cs="Times New Roman"/>
          <w:sz w:val="24"/>
          <w:szCs w:val="24"/>
        </w:rPr>
        <w:t xml:space="preserve"> </w:t>
      </w:r>
      <w:r w:rsidRPr="00EF153E">
        <w:rPr>
          <w:rFonts w:ascii="Times New Roman" w:hAnsi="Times New Roman" w:cs="Times New Roman"/>
          <w:sz w:val="24"/>
          <w:szCs w:val="24"/>
        </w:rPr>
        <w:t>crore. The outstanding guarantees of</w:t>
      </w:r>
      <w:r w:rsidR="001D438C" w:rsidRPr="00EF153E">
        <w:rPr>
          <w:rFonts w:ascii="Times New Roman" w:hAnsi="Times New Roman" w:cs="Times New Roman"/>
          <w:sz w:val="24"/>
          <w:szCs w:val="24"/>
        </w:rPr>
        <w:t xml:space="preserve"> </w:t>
      </w:r>
      <w:r w:rsidR="00EF153E">
        <w:rPr>
          <w:rFonts w:ascii="Times New Roman" w:hAnsi="Times New Roman" w:cs="Times New Roman"/>
          <w:sz w:val="24"/>
          <w:szCs w:val="24"/>
        </w:rPr>
        <w:t>₹</w:t>
      </w:r>
      <w:r w:rsidR="0008154C">
        <w:rPr>
          <w:rFonts w:ascii="Times New Roman" w:hAnsi="Times New Roman" w:cs="Times New Roman"/>
          <w:sz w:val="24"/>
          <w:szCs w:val="24"/>
        </w:rPr>
        <w:t>868.55</w:t>
      </w:r>
      <w:r w:rsidR="001D438C" w:rsidRPr="00EF153E">
        <w:rPr>
          <w:rFonts w:ascii="Times New Roman" w:hAnsi="Times New Roman" w:cs="Times New Roman"/>
          <w:sz w:val="24"/>
          <w:szCs w:val="24"/>
        </w:rPr>
        <w:t xml:space="preserve"> </w:t>
      </w:r>
      <w:r w:rsidRPr="00EF153E">
        <w:rPr>
          <w:rFonts w:ascii="Times New Roman" w:hAnsi="Times New Roman" w:cs="Times New Roman"/>
          <w:sz w:val="24"/>
          <w:szCs w:val="24"/>
        </w:rPr>
        <w:t xml:space="preserve">crore as on 1 April </w:t>
      </w:r>
      <w:r w:rsidR="001D438C" w:rsidRPr="00EF153E">
        <w:rPr>
          <w:rFonts w:ascii="Times New Roman" w:hAnsi="Times New Roman" w:cs="Times New Roman"/>
          <w:sz w:val="24"/>
          <w:szCs w:val="24"/>
        </w:rPr>
        <w:t>202</w:t>
      </w:r>
      <w:r w:rsidR="000F0322">
        <w:rPr>
          <w:rFonts w:ascii="Times New Roman" w:hAnsi="Times New Roman" w:cs="Times New Roman"/>
          <w:sz w:val="24"/>
          <w:szCs w:val="24"/>
        </w:rPr>
        <w:t>2</w:t>
      </w:r>
      <w:r w:rsidRPr="00EF153E">
        <w:rPr>
          <w:rFonts w:ascii="Times New Roman" w:hAnsi="Times New Roman" w:cs="Times New Roman"/>
          <w:sz w:val="24"/>
          <w:szCs w:val="24"/>
        </w:rPr>
        <w:t xml:space="preserve">, </w:t>
      </w:r>
      <w:r w:rsidR="00B74858">
        <w:rPr>
          <w:rFonts w:ascii="Times New Roman" w:hAnsi="Times New Roman" w:cs="Times New Roman"/>
          <w:sz w:val="24"/>
          <w:szCs w:val="24"/>
        </w:rPr>
        <w:t xml:space="preserve">worked out to </w:t>
      </w:r>
      <w:r w:rsidR="00F00435">
        <w:rPr>
          <w:rFonts w:ascii="Times New Roman" w:hAnsi="Times New Roman" w:cs="Times New Roman"/>
          <w:sz w:val="24"/>
          <w:szCs w:val="24"/>
        </w:rPr>
        <w:t>22.</w:t>
      </w:r>
      <w:r w:rsidR="005B490A">
        <w:rPr>
          <w:rFonts w:ascii="Times New Roman" w:hAnsi="Times New Roman" w:cs="Times New Roman"/>
          <w:sz w:val="24"/>
          <w:szCs w:val="24"/>
        </w:rPr>
        <w:t>3</w:t>
      </w:r>
      <w:r w:rsidR="008B76BA">
        <w:rPr>
          <w:rFonts w:ascii="Times New Roman" w:hAnsi="Times New Roman" w:cs="Times New Roman"/>
          <w:sz w:val="24"/>
          <w:szCs w:val="24"/>
        </w:rPr>
        <w:t>7</w:t>
      </w:r>
      <w:r w:rsidR="00EE3BD0">
        <w:rPr>
          <w:rFonts w:ascii="Times New Roman" w:hAnsi="Times New Roman" w:cs="Times New Roman"/>
          <w:sz w:val="24"/>
          <w:szCs w:val="24"/>
        </w:rPr>
        <w:t> </w:t>
      </w:r>
      <w:r w:rsidR="00B74858" w:rsidRPr="00CB5A28">
        <w:rPr>
          <w:rFonts w:ascii="Times New Roman" w:hAnsi="Times New Roman" w:cs="Times New Roman"/>
          <w:i/>
          <w:sz w:val="24"/>
          <w:szCs w:val="24"/>
        </w:rPr>
        <w:t>per</w:t>
      </w:r>
      <w:r w:rsidR="00EE3BD0">
        <w:rPr>
          <w:rFonts w:ascii="Times New Roman" w:hAnsi="Times New Roman" w:cs="Times New Roman"/>
          <w:i/>
          <w:sz w:val="24"/>
          <w:szCs w:val="24"/>
        </w:rPr>
        <w:t> </w:t>
      </w:r>
      <w:r w:rsidR="00B74858" w:rsidRPr="00CB5A28">
        <w:rPr>
          <w:rFonts w:ascii="Times New Roman" w:hAnsi="Times New Roman" w:cs="Times New Roman"/>
          <w:i/>
          <w:sz w:val="24"/>
          <w:szCs w:val="24"/>
        </w:rPr>
        <w:t>cent</w:t>
      </w:r>
      <w:r w:rsidR="00B74858">
        <w:rPr>
          <w:rFonts w:ascii="Times New Roman" w:hAnsi="Times New Roman" w:cs="Times New Roman"/>
          <w:sz w:val="24"/>
          <w:szCs w:val="24"/>
        </w:rPr>
        <w:t xml:space="preserve"> of</w:t>
      </w:r>
      <w:r w:rsidRPr="00EF153E">
        <w:rPr>
          <w:rFonts w:ascii="Times New Roman" w:hAnsi="Times New Roman" w:cs="Times New Roman"/>
          <w:sz w:val="24"/>
          <w:szCs w:val="24"/>
        </w:rPr>
        <w:t xml:space="preserve"> </w:t>
      </w:r>
      <w:r w:rsidR="002642DC">
        <w:rPr>
          <w:rFonts w:ascii="Times New Roman" w:hAnsi="Times New Roman" w:cs="Times New Roman"/>
          <w:sz w:val="24"/>
          <w:szCs w:val="24"/>
        </w:rPr>
        <w:t>thrice the State’s Own Tax Revenue Receipts for the year 20</w:t>
      </w:r>
      <w:r w:rsidR="000F0322">
        <w:rPr>
          <w:rFonts w:ascii="Times New Roman" w:hAnsi="Times New Roman" w:cs="Times New Roman"/>
          <w:sz w:val="24"/>
          <w:szCs w:val="24"/>
        </w:rPr>
        <w:t>20</w:t>
      </w:r>
      <w:r w:rsidR="002642DC">
        <w:rPr>
          <w:rFonts w:ascii="Times New Roman" w:hAnsi="Times New Roman" w:cs="Times New Roman"/>
          <w:sz w:val="24"/>
          <w:szCs w:val="24"/>
        </w:rPr>
        <w:t>-2</w:t>
      </w:r>
      <w:r w:rsidR="000F0322">
        <w:rPr>
          <w:rFonts w:ascii="Times New Roman" w:hAnsi="Times New Roman" w:cs="Times New Roman"/>
          <w:sz w:val="24"/>
          <w:szCs w:val="24"/>
        </w:rPr>
        <w:t>1</w:t>
      </w:r>
      <w:r w:rsidR="002642DC">
        <w:rPr>
          <w:rFonts w:ascii="Times New Roman" w:hAnsi="Times New Roman" w:cs="Times New Roman"/>
          <w:sz w:val="24"/>
          <w:szCs w:val="24"/>
        </w:rPr>
        <w:t xml:space="preserve"> </w:t>
      </w:r>
      <w:r w:rsidRPr="00EF153E">
        <w:rPr>
          <w:rFonts w:ascii="Times New Roman" w:hAnsi="Times New Roman" w:cs="Times New Roman"/>
          <w:sz w:val="24"/>
          <w:szCs w:val="24"/>
        </w:rPr>
        <w:t>and are within the limits prescribed.</w:t>
      </w:r>
      <w:r w:rsidR="0001094E" w:rsidRPr="0001094E">
        <w:rPr>
          <w:rFonts w:ascii="Times New Roman" w:hAnsi="Times New Roman" w:cs="Times New Roman"/>
          <w:sz w:val="24"/>
          <w:szCs w:val="24"/>
        </w:rPr>
        <w:t xml:space="preserve"> </w:t>
      </w:r>
    </w:p>
    <w:p w14:paraId="23F207F9" w14:textId="77777777" w:rsidR="00095B2E" w:rsidRDefault="00095B2E" w:rsidP="0001094E">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 xml:space="preserve">During </w:t>
      </w:r>
      <w:r w:rsidR="001D438C" w:rsidRPr="00EF153E">
        <w:rPr>
          <w:rFonts w:ascii="Times New Roman" w:hAnsi="Times New Roman" w:cs="Times New Roman"/>
          <w:sz w:val="24"/>
          <w:szCs w:val="24"/>
        </w:rPr>
        <w:t>202</w:t>
      </w:r>
      <w:r w:rsidR="000F0322">
        <w:rPr>
          <w:rFonts w:ascii="Times New Roman" w:hAnsi="Times New Roman" w:cs="Times New Roman"/>
          <w:sz w:val="24"/>
          <w:szCs w:val="24"/>
        </w:rPr>
        <w:t>2</w:t>
      </w:r>
      <w:r w:rsidR="001D438C" w:rsidRPr="00EF153E">
        <w:rPr>
          <w:rFonts w:ascii="Times New Roman" w:hAnsi="Times New Roman" w:cs="Times New Roman"/>
          <w:sz w:val="24"/>
          <w:szCs w:val="24"/>
        </w:rPr>
        <w:t>-2</w:t>
      </w:r>
      <w:r w:rsidR="000F0322">
        <w:rPr>
          <w:rFonts w:ascii="Times New Roman" w:hAnsi="Times New Roman" w:cs="Times New Roman"/>
          <w:sz w:val="24"/>
          <w:szCs w:val="24"/>
        </w:rPr>
        <w:t>3</w:t>
      </w:r>
      <w:r w:rsidR="0008154C">
        <w:rPr>
          <w:rFonts w:ascii="Times New Roman" w:hAnsi="Times New Roman" w:cs="Times New Roman"/>
          <w:sz w:val="24"/>
          <w:szCs w:val="24"/>
        </w:rPr>
        <w:t xml:space="preserve"> no </w:t>
      </w:r>
      <w:r w:rsidR="001D438C" w:rsidRPr="00EF153E">
        <w:rPr>
          <w:rFonts w:ascii="Times New Roman" w:hAnsi="Times New Roman" w:cs="Times New Roman"/>
          <w:sz w:val="24"/>
          <w:szCs w:val="24"/>
        </w:rPr>
        <w:t>amount was received by</w:t>
      </w:r>
      <w:r w:rsidRPr="00EF153E">
        <w:rPr>
          <w:rFonts w:ascii="Times New Roman" w:hAnsi="Times New Roman" w:cs="Times New Roman"/>
          <w:sz w:val="24"/>
          <w:szCs w:val="24"/>
        </w:rPr>
        <w:t xml:space="preserve"> the State Government towards guarantee commission. Under the</w:t>
      </w:r>
      <w:r w:rsidR="00C55154">
        <w:rPr>
          <w:rFonts w:ascii="Times New Roman" w:hAnsi="Times New Roman" w:cs="Times New Roman"/>
          <w:sz w:val="24"/>
          <w:szCs w:val="24"/>
        </w:rPr>
        <w:t xml:space="preserve"> Manipur Ceiling on</w:t>
      </w:r>
      <w:r w:rsidRPr="00EF153E">
        <w:rPr>
          <w:rFonts w:ascii="Times New Roman" w:hAnsi="Times New Roman" w:cs="Times New Roman"/>
          <w:sz w:val="24"/>
          <w:szCs w:val="24"/>
        </w:rPr>
        <w:t xml:space="preserve"> Government Guarantee Act</w:t>
      </w:r>
      <w:r w:rsidR="0062462D" w:rsidRPr="00EF153E">
        <w:rPr>
          <w:rFonts w:ascii="Times New Roman" w:hAnsi="Times New Roman" w:cs="Times New Roman"/>
          <w:sz w:val="24"/>
          <w:szCs w:val="24"/>
        </w:rPr>
        <w:t xml:space="preserve"> 2004</w:t>
      </w:r>
      <w:r w:rsidRPr="00EF153E">
        <w:rPr>
          <w:rFonts w:ascii="Times New Roman" w:hAnsi="Times New Roman" w:cs="Times New Roman"/>
          <w:sz w:val="24"/>
          <w:szCs w:val="24"/>
        </w:rPr>
        <w:t xml:space="preserve">, the Government shall charge a minimum of </w:t>
      </w:r>
      <w:r w:rsidR="0062462D" w:rsidRPr="00EF153E">
        <w:rPr>
          <w:rFonts w:ascii="Times New Roman" w:hAnsi="Times New Roman" w:cs="Times New Roman"/>
          <w:sz w:val="24"/>
          <w:szCs w:val="24"/>
        </w:rPr>
        <w:t xml:space="preserve">one </w:t>
      </w:r>
      <w:r w:rsidRPr="00EF153E">
        <w:rPr>
          <w:rFonts w:ascii="Times New Roman" w:hAnsi="Times New Roman" w:cs="Times New Roman"/>
          <w:i/>
          <w:iCs/>
          <w:sz w:val="24"/>
          <w:szCs w:val="24"/>
        </w:rPr>
        <w:t>per cent</w:t>
      </w:r>
      <w:r w:rsidRPr="00EF153E">
        <w:rPr>
          <w:rFonts w:ascii="Times New Roman" w:hAnsi="Times New Roman" w:cs="Times New Roman"/>
          <w:sz w:val="24"/>
          <w:szCs w:val="24"/>
        </w:rPr>
        <w:t xml:space="preserve"> of the guaranteed amount as guarantee commission which works out to </w:t>
      </w:r>
      <w:r w:rsidR="00EF153E">
        <w:rPr>
          <w:rFonts w:ascii="Times New Roman" w:hAnsi="Times New Roman" w:cs="Times New Roman"/>
          <w:sz w:val="24"/>
          <w:szCs w:val="24"/>
        </w:rPr>
        <w:t>₹</w:t>
      </w:r>
      <w:r w:rsidR="005B490A">
        <w:rPr>
          <w:rFonts w:ascii="Times New Roman" w:hAnsi="Times New Roman" w:cs="Times New Roman"/>
          <w:sz w:val="24"/>
          <w:szCs w:val="24"/>
        </w:rPr>
        <w:t>3.09</w:t>
      </w:r>
      <w:r w:rsidR="00FA7F64">
        <w:rPr>
          <w:rFonts w:ascii="Times New Roman" w:hAnsi="Times New Roman" w:cs="Times New Roman"/>
          <w:sz w:val="24"/>
          <w:szCs w:val="24"/>
        </w:rPr>
        <w:t xml:space="preserve"> </w:t>
      </w:r>
      <w:r w:rsidR="0062462D" w:rsidRPr="00EF153E">
        <w:rPr>
          <w:rFonts w:ascii="Times New Roman" w:hAnsi="Times New Roman" w:cs="Times New Roman"/>
          <w:sz w:val="24"/>
          <w:szCs w:val="24"/>
        </w:rPr>
        <w:t>crore</w:t>
      </w:r>
      <w:r w:rsidRPr="00EF153E">
        <w:rPr>
          <w:rFonts w:ascii="Times New Roman" w:hAnsi="Times New Roman" w:cs="Times New Roman"/>
          <w:sz w:val="24"/>
          <w:szCs w:val="24"/>
        </w:rPr>
        <w:t xml:space="preserve">. </w:t>
      </w:r>
    </w:p>
    <w:p w14:paraId="1728AC16" w14:textId="77777777" w:rsidR="007011E7" w:rsidRDefault="00DA472D" w:rsidP="00CF2F14">
      <w:pPr>
        <w:widowControl w:val="0"/>
        <w:autoSpaceDE w:val="0"/>
        <w:autoSpaceDN w:val="0"/>
        <w:adjustRightInd w:val="0"/>
        <w:spacing w:before="120" w:after="120" w:line="288" w:lineRule="auto"/>
        <w:ind w:left="360"/>
        <w:jc w:val="both"/>
        <w:rPr>
          <w:rFonts w:ascii="Times New Roman" w:hAnsi="Times New Roman" w:cs="Times New Roman"/>
          <w:i/>
          <w:sz w:val="24"/>
          <w:szCs w:val="24"/>
        </w:rPr>
      </w:pPr>
      <w:r w:rsidRPr="00DA472D">
        <w:rPr>
          <w:rFonts w:ascii="Times New Roman" w:hAnsi="Times New Roman" w:cs="Times New Roman"/>
          <w:i/>
          <w:sz w:val="24"/>
          <w:szCs w:val="24"/>
        </w:rPr>
        <w:t>The relevant figures are available in Statement</w:t>
      </w:r>
      <w:r w:rsidR="00DB36B1">
        <w:rPr>
          <w:rFonts w:ascii="Times New Roman" w:hAnsi="Times New Roman" w:cs="Times New Roman"/>
          <w:i/>
          <w:sz w:val="24"/>
          <w:szCs w:val="24"/>
        </w:rPr>
        <w:t>s</w:t>
      </w:r>
      <w:r w:rsidRPr="00DA472D">
        <w:rPr>
          <w:rFonts w:ascii="Times New Roman" w:hAnsi="Times New Roman" w:cs="Times New Roman"/>
          <w:i/>
          <w:sz w:val="24"/>
          <w:szCs w:val="24"/>
        </w:rPr>
        <w:t xml:space="preserve"> 9, 14 and 20 of the Finance Accounts.</w:t>
      </w:r>
    </w:p>
    <w:p w14:paraId="11794AE2" w14:textId="77777777" w:rsidR="002F7576" w:rsidRDefault="002F7576" w:rsidP="00CF2F14">
      <w:pPr>
        <w:widowControl w:val="0"/>
        <w:autoSpaceDE w:val="0"/>
        <w:autoSpaceDN w:val="0"/>
        <w:adjustRightInd w:val="0"/>
        <w:spacing w:before="120" w:after="120" w:line="288" w:lineRule="auto"/>
        <w:ind w:left="360"/>
        <w:jc w:val="both"/>
        <w:rPr>
          <w:rFonts w:ascii="Times New Roman" w:hAnsi="Times New Roman" w:cs="Times New Roman"/>
          <w:i/>
          <w:sz w:val="24"/>
          <w:szCs w:val="24"/>
        </w:rPr>
      </w:pPr>
    </w:p>
    <w:p w14:paraId="0E5E7D32" w14:textId="77777777" w:rsidR="00E92636" w:rsidRPr="00EF153E" w:rsidRDefault="00EA7270" w:rsidP="00CF2F14">
      <w:pPr>
        <w:pStyle w:val="ListParagraph"/>
        <w:widowControl w:val="0"/>
        <w:numPr>
          <w:ilvl w:val="0"/>
          <w:numId w:val="20"/>
        </w:numPr>
        <w:autoSpaceDE w:val="0"/>
        <w:autoSpaceDN w:val="0"/>
        <w:adjustRightInd w:val="0"/>
        <w:spacing w:before="240" w:after="240" w:line="288" w:lineRule="auto"/>
        <w:contextualSpacing w:val="0"/>
        <w:jc w:val="both"/>
        <w:rPr>
          <w:rFonts w:ascii="Times New Roman" w:eastAsia="Times New Roman" w:hAnsi="Times New Roman" w:cs="Times New Roman"/>
          <w:b/>
          <w:bCs/>
          <w:sz w:val="24"/>
          <w:szCs w:val="24"/>
        </w:rPr>
      </w:pPr>
      <w:r w:rsidRPr="00EF153E">
        <w:rPr>
          <w:rFonts w:ascii="Times New Roman" w:eastAsia="Times New Roman" w:hAnsi="Times New Roman" w:cs="Times New Roman"/>
          <w:b/>
          <w:bCs/>
          <w:iCs/>
          <w:sz w:val="24"/>
          <w:szCs w:val="24"/>
        </w:rPr>
        <w:lastRenderedPageBreak/>
        <w:t xml:space="preserve">Expenditure on Ecology and </w:t>
      </w:r>
      <w:r w:rsidR="00F04EAF" w:rsidRPr="00EF153E">
        <w:rPr>
          <w:rFonts w:ascii="Times New Roman" w:eastAsia="Times New Roman" w:hAnsi="Times New Roman" w:cs="Times New Roman"/>
          <w:b/>
          <w:bCs/>
          <w:iCs/>
          <w:sz w:val="24"/>
          <w:szCs w:val="24"/>
        </w:rPr>
        <w:t>Environment</w:t>
      </w:r>
      <w:r w:rsidR="00F04EAF" w:rsidRPr="00EF153E">
        <w:rPr>
          <w:rFonts w:ascii="Times New Roman" w:hAnsi="Times New Roman" w:cs="Times New Roman"/>
          <w:b/>
          <w:bCs/>
          <w:iCs/>
          <w:sz w:val="24"/>
          <w:szCs w:val="24"/>
        </w:rPr>
        <w:t>:</w:t>
      </w:r>
    </w:p>
    <w:p w14:paraId="59F5994A" w14:textId="66E79A28" w:rsidR="00CB3778" w:rsidRDefault="00EA7270" w:rsidP="00CF2F14">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F153E">
        <w:rPr>
          <w:rFonts w:ascii="Times New Roman" w:eastAsia="Times New Roman" w:hAnsi="Times New Roman" w:cs="Times New Roman"/>
          <w:bCs/>
          <w:sz w:val="24"/>
          <w:szCs w:val="24"/>
        </w:rPr>
        <w:t xml:space="preserve">The expenditure incurred by the State Government towards environment is depicted in the Finance Accounts to the level of Minor Head under various functional head of accounts. </w:t>
      </w:r>
      <w:r w:rsidRPr="00EF153E">
        <w:rPr>
          <w:rFonts w:ascii="Times New Roman" w:eastAsia="Times New Roman" w:hAnsi="Times New Roman" w:cs="Times New Roman"/>
          <w:sz w:val="24"/>
          <w:szCs w:val="24"/>
        </w:rPr>
        <w:t xml:space="preserve">During the year </w:t>
      </w:r>
      <w:r w:rsidR="0062462D" w:rsidRPr="00EF153E">
        <w:rPr>
          <w:rFonts w:ascii="Times New Roman" w:eastAsia="Times New Roman" w:hAnsi="Times New Roman" w:cs="Times New Roman"/>
          <w:sz w:val="24"/>
          <w:szCs w:val="24"/>
        </w:rPr>
        <w:t>202</w:t>
      </w:r>
      <w:r w:rsidR="000F0322">
        <w:rPr>
          <w:rFonts w:ascii="Times New Roman" w:eastAsia="Times New Roman" w:hAnsi="Times New Roman" w:cs="Times New Roman"/>
          <w:sz w:val="24"/>
          <w:szCs w:val="24"/>
        </w:rPr>
        <w:t>2</w:t>
      </w:r>
      <w:r w:rsidR="0062462D" w:rsidRPr="00EF153E">
        <w:rPr>
          <w:rFonts w:ascii="Times New Roman" w:eastAsia="Times New Roman" w:hAnsi="Times New Roman" w:cs="Times New Roman"/>
          <w:sz w:val="24"/>
          <w:szCs w:val="24"/>
        </w:rPr>
        <w:t>-2</w:t>
      </w:r>
      <w:r w:rsidR="000F0322">
        <w:rPr>
          <w:rFonts w:ascii="Times New Roman" w:eastAsia="Times New Roman" w:hAnsi="Times New Roman" w:cs="Times New Roman"/>
          <w:sz w:val="24"/>
          <w:szCs w:val="24"/>
        </w:rPr>
        <w:t>3</w:t>
      </w:r>
      <w:r w:rsidRPr="00EF153E">
        <w:rPr>
          <w:rFonts w:ascii="Times New Roman" w:eastAsia="Times New Roman" w:hAnsi="Times New Roman" w:cs="Times New Roman"/>
          <w:sz w:val="24"/>
          <w:szCs w:val="24"/>
        </w:rPr>
        <w:t xml:space="preserve">, the Government of </w:t>
      </w:r>
      <w:r w:rsidR="0062462D" w:rsidRPr="00EF153E">
        <w:rPr>
          <w:rFonts w:ascii="Times New Roman" w:eastAsia="Times New Roman" w:hAnsi="Times New Roman" w:cs="Times New Roman"/>
          <w:sz w:val="24"/>
          <w:szCs w:val="24"/>
        </w:rPr>
        <w:t>Manipur</w:t>
      </w:r>
      <w:r w:rsidRPr="00EF153E">
        <w:rPr>
          <w:rFonts w:ascii="Times New Roman" w:eastAsia="Times New Roman" w:hAnsi="Times New Roman" w:cs="Times New Roman"/>
          <w:sz w:val="24"/>
          <w:szCs w:val="24"/>
        </w:rPr>
        <w:t xml:space="preserve"> incurred</w:t>
      </w:r>
      <w:r w:rsidR="008B76BA">
        <w:rPr>
          <w:rFonts w:ascii="Times New Roman" w:eastAsia="Times New Roman" w:hAnsi="Times New Roman" w:cs="Times New Roman"/>
          <w:sz w:val="24"/>
          <w:szCs w:val="24"/>
        </w:rPr>
        <w:t xml:space="preserve"> expenditure of</w:t>
      </w:r>
      <w:r w:rsidRPr="00EF153E">
        <w:rPr>
          <w:rFonts w:ascii="Times New Roman" w:eastAsia="Times New Roman" w:hAnsi="Times New Roman" w:cs="Times New Roman"/>
          <w:sz w:val="24"/>
          <w:szCs w:val="24"/>
        </w:rPr>
        <w:t xml:space="preserve"> </w:t>
      </w:r>
      <w:r w:rsidR="00EF153E">
        <w:rPr>
          <w:rFonts w:ascii="Times New Roman" w:eastAsia="Times New Roman" w:hAnsi="Times New Roman" w:cs="Times New Roman"/>
          <w:bCs/>
          <w:iCs/>
          <w:sz w:val="24"/>
          <w:szCs w:val="24"/>
        </w:rPr>
        <w:t>₹</w:t>
      </w:r>
      <w:r w:rsidR="0005325B">
        <w:rPr>
          <w:rFonts w:ascii="Times New Roman" w:hAnsi="Times New Roman" w:cs="Times New Roman"/>
          <w:bCs/>
          <w:iCs/>
          <w:sz w:val="24"/>
          <w:szCs w:val="24"/>
        </w:rPr>
        <w:t>12.</w:t>
      </w:r>
      <w:r w:rsidR="00431344">
        <w:rPr>
          <w:rFonts w:ascii="Times New Roman" w:hAnsi="Times New Roman" w:cs="Times New Roman"/>
          <w:bCs/>
          <w:iCs/>
          <w:sz w:val="24"/>
          <w:szCs w:val="24"/>
        </w:rPr>
        <w:t>20</w:t>
      </w:r>
      <w:r w:rsidRPr="00EF153E">
        <w:rPr>
          <w:rFonts w:ascii="Times New Roman" w:eastAsia="Times New Roman" w:hAnsi="Times New Roman" w:cs="Times New Roman"/>
          <w:sz w:val="24"/>
          <w:szCs w:val="24"/>
        </w:rPr>
        <w:t xml:space="preserve"> crore against the budget allocation of </w:t>
      </w:r>
      <w:r w:rsidR="00EF153E">
        <w:rPr>
          <w:rFonts w:ascii="Times New Roman" w:eastAsia="Times New Roman" w:hAnsi="Times New Roman" w:cs="Times New Roman"/>
          <w:bCs/>
          <w:iCs/>
          <w:sz w:val="24"/>
          <w:szCs w:val="24"/>
        </w:rPr>
        <w:t>₹</w:t>
      </w:r>
      <w:r w:rsidR="0005325B">
        <w:rPr>
          <w:rFonts w:ascii="Times New Roman" w:hAnsi="Times New Roman" w:cs="Times New Roman"/>
          <w:sz w:val="24"/>
          <w:szCs w:val="24"/>
        </w:rPr>
        <w:t>28.07</w:t>
      </w:r>
      <w:r w:rsidRPr="00EF153E">
        <w:rPr>
          <w:rFonts w:ascii="Times New Roman" w:eastAsia="Times New Roman" w:hAnsi="Times New Roman" w:cs="Times New Roman"/>
          <w:sz w:val="24"/>
          <w:szCs w:val="24"/>
        </w:rPr>
        <w:t xml:space="preserve"> crore under Major Heads </w:t>
      </w:r>
      <w:r w:rsidR="0062462D" w:rsidRPr="00EF153E">
        <w:rPr>
          <w:rFonts w:ascii="Times New Roman" w:hAnsi="Times New Roman" w:cs="Times New Roman"/>
          <w:sz w:val="24"/>
          <w:szCs w:val="24"/>
        </w:rPr>
        <w:t>3435-Ecology and Environment</w:t>
      </w:r>
      <w:r w:rsidRPr="00EF153E">
        <w:rPr>
          <w:rFonts w:ascii="Times New Roman" w:eastAsia="Times New Roman" w:hAnsi="Times New Roman" w:cs="Times New Roman"/>
          <w:sz w:val="24"/>
          <w:szCs w:val="24"/>
        </w:rPr>
        <w:t>.</w:t>
      </w:r>
      <w:r w:rsidR="0062462D" w:rsidRPr="00EF153E">
        <w:rPr>
          <w:rFonts w:ascii="Times New Roman" w:eastAsia="Times New Roman" w:hAnsi="Times New Roman" w:cs="Times New Roman"/>
          <w:sz w:val="24"/>
          <w:szCs w:val="24"/>
        </w:rPr>
        <w:t xml:space="preserve"> </w:t>
      </w:r>
      <w:r w:rsidR="008E5430" w:rsidRPr="00EF153E">
        <w:rPr>
          <w:rFonts w:ascii="Times New Roman" w:eastAsia="Times New Roman" w:hAnsi="Times New Roman" w:cs="Times New Roman"/>
          <w:sz w:val="24"/>
          <w:szCs w:val="24"/>
        </w:rPr>
        <w:t xml:space="preserve">During the previous year </w:t>
      </w:r>
      <w:r w:rsidR="0062462D" w:rsidRPr="00EF153E">
        <w:rPr>
          <w:rFonts w:ascii="Times New Roman" w:eastAsia="Times New Roman" w:hAnsi="Times New Roman" w:cs="Times New Roman"/>
          <w:sz w:val="24"/>
          <w:szCs w:val="24"/>
        </w:rPr>
        <w:t>202</w:t>
      </w:r>
      <w:r w:rsidR="000F0322">
        <w:rPr>
          <w:rFonts w:ascii="Times New Roman" w:eastAsia="Times New Roman" w:hAnsi="Times New Roman" w:cs="Times New Roman"/>
          <w:sz w:val="24"/>
          <w:szCs w:val="24"/>
        </w:rPr>
        <w:t>1</w:t>
      </w:r>
      <w:r w:rsidR="0062462D" w:rsidRPr="00EF153E">
        <w:rPr>
          <w:rFonts w:ascii="Times New Roman" w:eastAsia="Times New Roman" w:hAnsi="Times New Roman" w:cs="Times New Roman"/>
          <w:sz w:val="24"/>
          <w:szCs w:val="24"/>
        </w:rPr>
        <w:t>-2</w:t>
      </w:r>
      <w:r w:rsidR="000F0322">
        <w:rPr>
          <w:rFonts w:ascii="Times New Roman" w:eastAsia="Times New Roman" w:hAnsi="Times New Roman" w:cs="Times New Roman"/>
          <w:sz w:val="24"/>
          <w:szCs w:val="24"/>
        </w:rPr>
        <w:t>2</w:t>
      </w:r>
      <w:r w:rsidR="008E5430" w:rsidRPr="00EF153E">
        <w:rPr>
          <w:rFonts w:ascii="Times New Roman" w:eastAsia="Times New Roman" w:hAnsi="Times New Roman" w:cs="Times New Roman"/>
          <w:sz w:val="24"/>
          <w:szCs w:val="24"/>
        </w:rPr>
        <w:t xml:space="preserve">, the Government of </w:t>
      </w:r>
      <w:r w:rsidR="0062462D" w:rsidRPr="00EF153E">
        <w:rPr>
          <w:rFonts w:ascii="Times New Roman" w:hAnsi="Times New Roman" w:cs="Times New Roman"/>
          <w:sz w:val="24"/>
          <w:szCs w:val="24"/>
        </w:rPr>
        <w:t>Manipur</w:t>
      </w:r>
      <w:r w:rsidR="008E5430" w:rsidRPr="00EF153E">
        <w:rPr>
          <w:rFonts w:ascii="Times New Roman" w:eastAsia="Times New Roman" w:hAnsi="Times New Roman" w:cs="Times New Roman"/>
          <w:sz w:val="24"/>
          <w:szCs w:val="24"/>
        </w:rPr>
        <w:t xml:space="preserve"> incurred</w:t>
      </w:r>
      <w:r w:rsidR="008B76BA">
        <w:rPr>
          <w:rFonts w:ascii="Times New Roman" w:eastAsia="Times New Roman" w:hAnsi="Times New Roman" w:cs="Times New Roman"/>
          <w:sz w:val="24"/>
          <w:szCs w:val="24"/>
        </w:rPr>
        <w:t xml:space="preserve"> expenditure of</w:t>
      </w:r>
      <w:r w:rsidR="008E5430" w:rsidRPr="00EF153E">
        <w:rPr>
          <w:rFonts w:ascii="Times New Roman" w:eastAsia="Times New Roman" w:hAnsi="Times New Roman" w:cs="Times New Roman"/>
          <w:sz w:val="24"/>
          <w:szCs w:val="24"/>
        </w:rPr>
        <w:t xml:space="preserve"> </w:t>
      </w:r>
      <w:r w:rsidR="00EF153E">
        <w:rPr>
          <w:rFonts w:ascii="Times New Roman" w:eastAsia="Times New Roman" w:hAnsi="Times New Roman" w:cs="Times New Roman"/>
          <w:bCs/>
          <w:iCs/>
          <w:sz w:val="24"/>
          <w:szCs w:val="24"/>
        </w:rPr>
        <w:t>₹</w:t>
      </w:r>
      <w:r w:rsidR="0005325B">
        <w:rPr>
          <w:rFonts w:ascii="Times New Roman" w:hAnsi="Times New Roman" w:cs="Times New Roman"/>
          <w:bCs/>
          <w:iCs/>
          <w:sz w:val="24"/>
          <w:szCs w:val="24"/>
        </w:rPr>
        <w:t xml:space="preserve">33.52 </w:t>
      </w:r>
      <w:r w:rsidR="008E5430" w:rsidRPr="00EF153E">
        <w:rPr>
          <w:rFonts w:ascii="Times New Roman" w:eastAsia="Times New Roman" w:hAnsi="Times New Roman" w:cs="Times New Roman"/>
          <w:sz w:val="24"/>
          <w:szCs w:val="24"/>
        </w:rPr>
        <w:t xml:space="preserve">crore against the budget allocation of </w:t>
      </w:r>
      <w:r w:rsidR="00EF153E">
        <w:rPr>
          <w:rFonts w:ascii="Times New Roman" w:eastAsia="Times New Roman" w:hAnsi="Times New Roman" w:cs="Times New Roman"/>
          <w:bCs/>
          <w:iCs/>
          <w:sz w:val="24"/>
          <w:szCs w:val="24"/>
        </w:rPr>
        <w:t>₹</w:t>
      </w:r>
      <w:r w:rsidR="0005325B">
        <w:rPr>
          <w:rFonts w:ascii="Times New Roman" w:hAnsi="Times New Roman" w:cs="Times New Roman"/>
          <w:sz w:val="24"/>
          <w:szCs w:val="24"/>
        </w:rPr>
        <w:t>39.04</w:t>
      </w:r>
      <w:r w:rsidR="00EE3BD0">
        <w:rPr>
          <w:rFonts w:ascii="Times New Roman" w:hAnsi="Times New Roman" w:cs="Times New Roman"/>
          <w:sz w:val="24"/>
          <w:szCs w:val="24"/>
        </w:rPr>
        <w:t> </w:t>
      </w:r>
      <w:r w:rsidR="008E5430" w:rsidRPr="00EF153E">
        <w:rPr>
          <w:rFonts w:ascii="Times New Roman" w:eastAsia="Times New Roman" w:hAnsi="Times New Roman" w:cs="Times New Roman"/>
          <w:sz w:val="24"/>
          <w:szCs w:val="24"/>
        </w:rPr>
        <w:t xml:space="preserve">crore under </w:t>
      </w:r>
      <w:r w:rsidR="0062462D" w:rsidRPr="00EF153E">
        <w:rPr>
          <w:rFonts w:ascii="Times New Roman" w:eastAsia="Times New Roman" w:hAnsi="Times New Roman" w:cs="Times New Roman"/>
          <w:sz w:val="24"/>
          <w:szCs w:val="24"/>
        </w:rPr>
        <w:t xml:space="preserve">Major Heads </w:t>
      </w:r>
      <w:r w:rsidR="0062462D" w:rsidRPr="00EF153E">
        <w:rPr>
          <w:rFonts w:ascii="Times New Roman" w:hAnsi="Times New Roman" w:cs="Times New Roman"/>
          <w:sz w:val="24"/>
          <w:szCs w:val="24"/>
        </w:rPr>
        <w:t>3435-Ecology and Environment</w:t>
      </w:r>
      <w:r w:rsidR="00CB3778">
        <w:rPr>
          <w:rFonts w:ascii="Times New Roman" w:hAnsi="Times New Roman" w:cs="Times New Roman"/>
          <w:sz w:val="24"/>
          <w:szCs w:val="24"/>
        </w:rPr>
        <w:t>.</w:t>
      </w:r>
    </w:p>
    <w:p w14:paraId="3E069994" w14:textId="77777777" w:rsidR="00DA472D" w:rsidRPr="00DA472D" w:rsidRDefault="00DA472D" w:rsidP="00CF2F14">
      <w:pPr>
        <w:widowControl w:val="0"/>
        <w:autoSpaceDE w:val="0"/>
        <w:autoSpaceDN w:val="0"/>
        <w:adjustRightInd w:val="0"/>
        <w:spacing w:before="120" w:after="120" w:line="288" w:lineRule="auto"/>
        <w:ind w:left="360"/>
        <w:jc w:val="both"/>
        <w:rPr>
          <w:rFonts w:ascii="Times New Roman" w:eastAsia="Times New Roman" w:hAnsi="Times New Roman" w:cs="Times New Roman"/>
          <w:b/>
          <w:bCs/>
          <w:i/>
          <w:sz w:val="24"/>
          <w:szCs w:val="24"/>
        </w:rPr>
      </w:pPr>
      <w:r w:rsidRPr="00DA472D">
        <w:rPr>
          <w:rFonts w:ascii="Times New Roman" w:hAnsi="Times New Roman" w:cs="Times New Roman"/>
          <w:i/>
          <w:sz w:val="24"/>
          <w:szCs w:val="24"/>
        </w:rPr>
        <w:t>This has reference to Statement</w:t>
      </w:r>
      <w:r w:rsidR="00DC153D">
        <w:rPr>
          <w:rFonts w:ascii="Times New Roman" w:hAnsi="Times New Roman" w:cs="Times New Roman"/>
          <w:i/>
          <w:sz w:val="24"/>
          <w:szCs w:val="24"/>
        </w:rPr>
        <w:t xml:space="preserve"> 15</w:t>
      </w:r>
      <w:r w:rsidR="00F521F1">
        <w:rPr>
          <w:rFonts w:ascii="Times New Roman" w:hAnsi="Times New Roman" w:cs="Times New Roman"/>
          <w:i/>
          <w:sz w:val="24"/>
          <w:szCs w:val="24"/>
        </w:rPr>
        <w:t xml:space="preserve"> </w:t>
      </w:r>
      <w:r w:rsidRPr="00DA472D">
        <w:rPr>
          <w:rFonts w:ascii="Times New Roman" w:hAnsi="Times New Roman" w:cs="Times New Roman"/>
          <w:i/>
          <w:sz w:val="24"/>
          <w:szCs w:val="24"/>
        </w:rPr>
        <w:t>of the Finance Accounts.</w:t>
      </w:r>
    </w:p>
    <w:p w14:paraId="1E3E999C" w14:textId="77777777" w:rsidR="00E92636" w:rsidRPr="00EF153E" w:rsidRDefault="00EA7270" w:rsidP="00CF2F14">
      <w:pPr>
        <w:pStyle w:val="ListParagraph"/>
        <w:widowControl w:val="0"/>
        <w:numPr>
          <w:ilvl w:val="0"/>
          <w:numId w:val="20"/>
        </w:numPr>
        <w:autoSpaceDE w:val="0"/>
        <w:autoSpaceDN w:val="0"/>
        <w:adjustRightInd w:val="0"/>
        <w:spacing w:before="240" w:after="240" w:line="288" w:lineRule="auto"/>
        <w:contextualSpacing w:val="0"/>
        <w:jc w:val="both"/>
        <w:rPr>
          <w:rFonts w:ascii="Times New Roman" w:eastAsia="Times New Roman" w:hAnsi="Times New Roman" w:cs="Times New Roman"/>
          <w:sz w:val="24"/>
          <w:szCs w:val="24"/>
        </w:rPr>
      </w:pPr>
      <w:r w:rsidRPr="00EF153E">
        <w:rPr>
          <w:rFonts w:ascii="Times New Roman" w:eastAsia="Times New Roman" w:hAnsi="Times New Roman" w:cs="Times New Roman"/>
          <w:b/>
          <w:bCs/>
          <w:iCs/>
          <w:sz w:val="24"/>
          <w:szCs w:val="24"/>
        </w:rPr>
        <w:t>Expenditure</w:t>
      </w:r>
      <w:r w:rsidRPr="00EF153E">
        <w:rPr>
          <w:rFonts w:ascii="Times New Roman" w:hAnsi="Times New Roman" w:cs="Times New Roman"/>
          <w:b/>
          <w:bCs/>
          <w:sz w:val="24"/>
          <w:szCs w:val="24"/>
        </w:rPr>
        <w:t xml:space="preserve"> relating to </w:t>
      </w:r>
      <w:r w:rsidR="00C76E95" w:rsidRPr="00EF153E">
        <w:rPr>
          <w:rFonts w:ascii="Times New Roman" w:hAnsi="Times New Roman" w:cs="Times New Roman"/>
          <w:b/>
          <w:bCs/>
          <w:sz w:val="24"/>
          <w:szCs w:val="24"/>
        </w:rPr>
        <w:t xml:space="preserve">unforeseen/extraordinary </w:t>
      </w:r>
      <w:r w:rsidR="000C26EE" w:rsidRPr="00EF153E">
        <w:rPr>
          <w:rFonts w:ascii="Times New Roman" w:hAnsi="Times New Roman" w:cs="Times New Roman"/>
          <w:b/>
          <w:bCs/>
          <w:sz w:val="24"/>
          <w:szCs w:val="24"/>
        </w:rPr>
        <w:t>events:</w:t>
      </w:r>
    </w:p>
    <w:p w14:paraId="6297BD27" w14:textId="77777777" w:rsidR="001C1A21" w:rsidRPr="00EF153E" w:rsidRDefault="00EA7270" w:rsidP="00CF2F14">
      <w:pPr>
        <w:widowControl w:val="0"/>
        <w:autoSpaceDE w:val="0"/>
        <w:autoSpaceDN w:val="0"/>
        <w:adjustRightInd w:val="0"/>
        <w:spacing w:before="120" w:after="120" w:line="288" w:lineRule="auto"/>
        <w:ind w:left="360"/>
        <w:jc w:val="both"/>
        <w:rPr>
          <w:rFonts w:ascii="Times New Roman" w:eastAsia="Times New Roman" w:hAnsi="Times New Roman" w:cs="Times New Roman"/>
          <w:sz w:val="24"/>
          <w:szCs w:val="24"/>
        </w:rPr>
      </w:pPr>
      <w:r w:rsidRPr="00EF153E">
        <w:rPr>
          <w:rFonts w:ascii="Times New Roman" w:eastAsia="Times New Roman" w:hAnsi="Times New Roman" w:cs="Times New Roman"/>
          <w:sz w:val="24"/>
          <w:szCs w:val="24"/>
        </w:rPr>
        <w:t xml:space="preserve">During the year </w:t>
      </w:r>
      <w:r w:rsidR="0062462D" w:rsidRPr="00EF153E">
        <w:rPr>
          <w:rFonts w:ascii="Times New Roman" w:eastAsia="Times New Roman" w:hAnsi="Times New Roman" w:cs="Times New Roman"/>
          <w:sz w:val="24"/>
          <w:szCs w:val="24"/>
        </w:rPr>
        <w:t>202</w:t>
      </w:r>
      <w:r w:rsidR="000F0322">
        <w:rPr>
          <w:rFonts w:ascii="Times New Roman" w:eastAsia="Times New Roman" w:hAnsi="Times New Roman" w:cs="Times New Roman"/>
          <w:sz w:val="24"/>
          <w:szCs w:val="24"/>
        </w:rPr>
        <w:t>2</w:t>
      </w:r>
      <w:r w:rsidR="0062462D" w:rsidRPr="00EF153E">
        <w:rPr>
          <w:rFonts w:ascii="Times New Roman" w:eastAsia="Times New Roman" w:hAnsi="Times New Roman" w:cs="Times New Roman"/>
          <w:sz w:val="24"/>
          <w:szCs w:val="24"/>
        </w:rPr>
        <w:t>-2</w:t>
      </w:r>
      <w:r w:rsidR="000F0322">
        <w:rPr>
          <w:rFonts w:ascii="Times New Roman" w:eastAsia="Times New Roman" w:hAnsi="Times New Roman" w:cs="Times New Roman"/>
          <w:sz w:val="24"/>
          <w:szCs w:val="24"/>
        </w:rPr>
        <w:t>3</w:t>
      </w:r>
      <w:r w:rsidRPr="00EF153E">
        <w:rPr>
          <w:rFonts w:ascii="Times New Roman" w:eastAsia="Times New Roman" w:hAnsi="Times New Roman" w:cs="Times New Roman"/>
          <w:sz w:val="24"/>
          <w:szCs w:val="24"/>
        </w:rPr>
        <w:t xml:space="preserve">, the Government of </w:t>
      </w:r>
      <w:r w:rsidR="0062462D" w:rsidRPr="00EF153E">
        <w:rPr>
          <w:rFonts w:ascii="Times New Roman" w:eastAsia="Times New Roman" w:hAnsi="Times New Roman" w:cs="Times New Roman"/>
          <w:sz w:val="24"/>
          <w:szCs w:val="24"/>
        </w:rPr>
        <w:t>Manipur</w:t>
      </w:r>
      <w:r w:rsidRPr="00EF153E">
        <w:rPr>
          <w:rFonts w:ascii="Times New Roman" w:eastAsia="Times New Roman" w:hAnsi="Times New Roman" w:cs="Times New Roman"/>
          <w:sz w:val="24"/>
          <w:szCs w:val="24"/>
        </w:rPr>
        <w:t xml:space="preserve"> incurred </w:t>
      </w:r>
      <w:r w:rsidR="00EF153E">
        <w:rPr>
          <w:rFonts w:ascii="Times New Roman" w:eastAsia="Times New Roman" w:hAnsi="Times New Roman" w:cs="Times New Roman"/>
          <w:bCs/>
          <w:iCs/>
          <w:sz w:val="24"/>
          <w:szCs w:val="24"/>
        </w:rPr>
        <w:t>₹</w:t>
      </w:r>
      <w:r w:rsidR="004F157F">
        <w:rPr>
          <w:rFonts w:ascii="Times New Roman" w:eastAsia="Times New Roman" w:hAnsi="Times New Roman" w:cs="Times New Roman"/>
          <w:bCs/>
          <w:iCs/>
          <w:sz w:val="24"/>
          <w:szCs w:val="24"/>
        </w:rPr>
        <w:t>19.41</w:t>
      </w:r>
      <w:r w:rsidRPr="00EF153E">
        <w:rPr>
          <w:rFonts w:ascii="Times New Roman" w:eastAsia="Times New Roman" w:hAnsi="Times New Roman" w:cs="Times New Roman"/>
          <w:sz w:val="24"/>
          <w:szCs w:val="24"/>
        </w:rPr>
        <w:t xml:space="preserve"> crore </w:t>
      </w:r>
      <w:r w:rsidR="00092688" w:rsidRPr="00EF153E">
        <w:rPr>
          <w:rFonts w:ascii="Times New Roman" w:eastAsia="Times New Roman" w:hAnsi="Times New Roman" w:cs="Times New Roman"/>
          <w:sz w:val="24"/>
          <w:szCs w:val="24"/>
        </w:rPr>
        <w:t>(</w:t>
      </w:r>
      <w:r w:rsidR="00EF153E">
        <w:rPr>
          <w:rFonts w:ascii="Times New Roman" w:eastAsia="Times New Roman" w:hAnsi="Times New Roman" w:cs="Times New Roman"/>
          <w:bCs/>
          <w:iCs/>
          <w:sz w:val="24"/>
          <w:szCs w:val="24"/>
        </w:rPr>
        <w:t>₹</w:t>
      </w:r>
      <w:r w:rsidR="004F157F">
        <w:rPr>
          <w:rFonts w:ascii="Times New Roman" w:eastAsia="Times New Roman" w:hAnsi="Times New Roman" w:cs="Times New Roman"/>
          <w:bCs/>
          <w:iCs/>
          <w:sz w:val="24"/>
          <w:szCs w:val="24"/>
        </w:rPr>
        <w:t>216.60</w:t>
      </w:r>
      <w:r w:rsidR="00092688" w:rsidRPr="00EF153E">
        <w:rPr>
          <w:rFonts w:ascii="Times New Roman" w:eastAsia="Times New Roman" w:hAnsi="Times New Roman" w:cs="Times New Roman"/>
          <w:sz w:val="24"/>
          <w:szCs w:val="24"/>
        </w:rPr>
        <w:t xml:space="preserve"> crore in previous year) </w:t>
      </w:r>
      <w:r w:rsidRPr="00EF153E">
        <w:rPr>
          <w:rFonts w:ascii="Times New Roman" w:eastAsia="Times New Roman" w:hAnsi="Times New Roman" w:cs="Times New Roman"/>
          <w:sz w:val="24"/>
          <w:szCs w:val="24"/>
        </w:rPr>
        <w:t xml:space="preserve">on relief measures relating to </w:t>
      </w:r>
      <w:r w:rsidR="00C0698A" w:rsidRPr="00EF153E">
        <w:rPr>
          <w:rFonts w:ascii="Times New Roman" w:eastAsia="Times New Roman" w:hAnsi="Times New Roman" w:cs="Times New Roman"/>
          <w:sz w:val="24"/>
          <w:szCs w:val="24"/>
        </w:rPr>
        <w:t>unforeseen</w:t>
      </w:r>
      <w:r w:rsidR="005B07DB" w:rsidRPr="00EF153E">
        <w:rPr>
          <w:rFonts w:ascii="Times New Roman" w:eastAsia="Times New Roman" w:hAnsi="Times New Roman" w:cs="Times New Roman"/>
          <w:sz w:val="24"/>
          <w:szCs w:val="24"/>
        </w:rPr>
        <w:t>/extraordinary events (</w:t>
      </w:r>
      <w:r w:rsidR="005B07DB" w:rsidRPr="00EF153E">
        <w:rPr>
          <w:rFonts w:ascii="Times New Roman" w:eastAsia="Times New Roman" w:hAnsi="Times New Roman" w:cs="Times New Roman"/>
          <w:i/>
          <w:iCs/>
          <w:sz w:val="24"/>
          <w:szCs w:val="24"/>
        </w:rPr>
        <w:t>e.g.</w:t>
      </w:r>
      <w:r w:rsidR="003C4C03" w:rsidRPr="00EF153E">
        <w:rPr>
          <w:rFonts w:ascii="Times New Roman" w:eastAsia="Times New Roman" w:hAnsi="Times New Roman" w:cs="Times New Roman"/>
          <w:sz w:val="24"/>
          <w:szCs w:val="24"/>
        </w:rPr>
        <w:t xml:space="preserve">, </w:t>
      </w:r>
      <w:r w:rsidRPr="00EF153E">
        <w:rPr>
          <w:rFonts w:ascii="Times New Roman" w:eastAsia="Times New Roman" w:hAnsi="Times New Roman" w:cs="Times New Roman"/>
          <w:sz w:val="24"/>
          <w:szCs w:val="24"/>
        </w:rPr>
        <w:t>COVID-19 Pandemic</w:t>
      </w:r>
      <w:r w:rsidR="005B07DB" w:rsidRPr="00EF153E">
        <w:rPr>
          <w:rFonts w:ascii="Times New Roman" w:eastAsia="Times New Roman" w:hAnsi="Times New Roman" w:cs="Times New Roman"/>
          <w:sz w:val="24"/>
          <w:szCs w:val="24"/>
        </w:rPr>
        <w:t>)</w:t>
      </w:r>
      <w:r w:rsidRPr="00EF153E">
        <w:rPr>
          <w:rFonts w:ascii="Times New Roman" w:eastAsia="Times New Roman" w:hAnsi="Times New Roman" w:cs="Times New Roman"/>
          <w:sz w:val="24"/>
          <w:szCs w:val="24"/>
        </w:rPr>
        <w:t xml:space="preserve"> under Major Heads </w:t>
      </w:r>
      <w:r w:rsidR="004F157F">
        <w:rPr>
          <w:rFonts w:ascii="Times New Roman" w:hAnsi="Times New Roman" w:cs="Times New Roman"/>
          <w:sz w:val="24"/>
          <w:szCs w:val="24"/>
        </w:rPr>
        <w:t>2210 and</w:t>
      </w:r>
      <w:r w:rsidR="0062462D" w:rsidRPr="00EF153E">
        <w:rPr>
          <w:rFonts w:ascii="Times New Roman" w:hAnsi="Times New Roman" w:cs="Times New Roman"/>
          <w:sz w:val="24"/>
          <w:szCs w:val="24"/>
        </w:rPr>
        <w:t xml:space="preserve"> 2245.</w:t>
      </w:r>
      <w:r w:rsidRPr="00EF153E">
        <w:rPr>
          <w:rFonts w:ascii="Times New Roman" w:eastAsia="Times New Roman" w:hAnsi="Times New Roman" w:cs="Times New Roman"/>
          <w:sz w:val="24"/>
          <w:szCs w:val="24"/>
        </w:rPr>
        <w:t xml:space="preserve"> </w:t>
      </w:r>
      <w:r w:rsidR="004D122D">
        <w:rPr>
          <w:rFonts w:ascii="Times New Roman" w:eastAsia="Times New Roman" w:hAnsi="Times New Roman" w:cs="Times New Roman"/>
          <w:sz w:val="24"/>
          <w:szCs w:val="24"/>
        </w:rPr>
        <w:t xml:space="preserve">The entire amount of </w:t>
      </w:r>
      <w:r w:rsidR="004D122D">
        <w:rPr>
          <w:rFonts w:ascii="Times New Roman" w:eastAsia="Times New Roman" w:hAnsi="Times New Roman" w:cs="Times New Roman"/>
          <w:bCs/>
          <w:iCs/>
          <w:sz w:val="24"/>
          <w:szCs w:val="24"/>
        </w:rPr>
        <w:t>₹19.41</w:t>
      </w:r>
      <w:r w:rsidR="004D122D" w:rsidRPr="00EF153E">
        <w:rPr>
          <w:rFonts w:ascii="Times New Roman" w:eastAsia="Times New Roman" w:hAnsi="Times New Roman" w:cs="Times New Roman"/>
          <w:sz w:val="24"/>
          <w:szCs w:val="24"/>
        </w:rPr>
        <w:t xml:space="preserve"> crore</w:t>
      </w:r>
      <w:r w:rsidR="004D122D">
        <w:rPr>
          <w:rFonts w:ascii="Times New Roman" w:eastAsia="Times New Roman" w:hAnsi="Times New Roman" w:cs="Times New Roman"/>
          <w:sz w:val="24"/>
          <w:szCs w:val="24"/>
        </w:rPr>
        <w:t xml:space="preserve"> was Revenue Expenditure.</w:t>
      </w:r>
    </w:p>
    <w:p w14:paraId="724065F2" w14:textId="77777777" w:rsidR="0005325B" w:rsidRDefault="00EA7270" w:rsidP="00C01957">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eastAsia="Times New Roman" w:hAnsi="Times New Roman" w:cs="Times New Roman"/>
          <w:sz w:val="24"/>
          <w:szCs w:val="24"/>
        </w:rPr>
        <w:t xml:space="preserve">The Government </w:t>
      </w:r>
      <w:r w:rsidR="004D122D">
        <w:rPr>
          <w:rFonts w:ascii="Times New Roman" w:eastAsia="Times New Roman" w:hAnsi="Times New Roman" w:cs="Times New Roman"/>
          <w:sz w:val="24"/>
          <w:szCs w:val="24"/>
        </w:rPr>
        <w:t xml:space="preserve">had not </w:t>
      </w:r>
      <w:r w:rsidRPr="00EF153E">
        <w:rPr>
          <w:rFonts w:ascii="Times New Roman" w:eastAsia="Times New Roman" w:hAnsi="Times New Roman" w:cs="Times New Roman"/>
          <w:sz w:val="24"/>
          <w:szCs w:val="24"/>
        </w:rPr>
        <w:t xml:space="preserve">received </w:t>
      </w:r>
      <w:r w:rsidR="004D122D">
        <w:rPr>
          <w:rFonts w:ascii="Times New Roman" w:eastAsia="Times New Roman" w:hAnsi="Times New Roman" w:cs="Times New Roman"/>
          <w:sz w:val="24"/>
          <w:szCs w:val="24"/>
        </w:rPr>
        <w:t>any amount</w:t>
      </w:r>
      <w:r w:rsidRPr="00EF153E">
        <w:rPr>
          <w:rFonts w:ascii="Times New Roman" w:eastAsia="Times New Roman" w:hAnsi="Times New Roman" w:cs="Times New Roman"/>
          <w:sz w:val="24"/>
          <w:szCs w:val="24"/>
        </w:rPr>
        <w:t xml:space="preserve"> from the Central Government for this purpose, being grants in aid/central assistance</w:t>
      </w:r>
      <w:r w:rsidR="000927C9" w:rsidRPr="00EF153E">
        <w:rPr>
          <w:rFonts w:ascii="Times New Roman" w:eastAsia="Times New Roman" w:hAnsi="Times New Roman" w:cs="Times New Roman"/>
          <w:sz w:val="24"/>
          <w:szCs w:val="24"/>
        </w:rPr>
        <w:t>,</w:t>
      </w:r>
      <w:r w:rsidR="00F14917" w:rsidRPr="00EF153E">
        <w:rPr>
          <w:rFonts w:ascii="Times New Roman" w:eastAsia="Times New Roman" w:hAnsi="Times New Roman" w:cs="Times New Roman"/>
          <w:sz w:val="24"/>
          <w:szCs w:val="24"/>
        </w:rPr>
        <w:t xml:space="preserve"> </w:t>
      </w:r>
      <w:r w:rsidRPr="00EF153E">
        <w:rPr>
          <w:rFonts w:ascii="Times New Roman" w:eastAsia="Times New Roman" w:hAnsi="Times New Roman" w:cs="Times New Roman"/>
          <w:i/>
          <w:iCs/>
          <w:sz w:val="24"/>
          <w:szCs w:val="24"/>
        </w:rPr>
        <w:t>etc</w:t>
      </w:r>
      <w:r w:rsidRPr="00EF153E">
        <w:rPr>
          <w:rFonts w:ascii="Times New Roman" w:eastAsia="Times New Roman" w:hAnsi="Times New Roman" w:cs="Times New Roman"/>
          <w:sz w:val="24"/>
          <w:szCs w:val="24"/>
        </w:rPr>
        <w:t>.</w:t>
      </w:r>
      <w:r w:rsidR="000927C9" w:rsidRPr="00EF153E">
        <w:rPr>
          <w:rFonts w:ascii="Times New Roman" w:eastAsia="Times New Roman" w:hAnsi="Times New Roman" w:cs="Times New Roman"/>
          <w:sz w:val="24"/>
          <w:szCs w:val="24"/>
        </w:rPr>
        <w:t>,</w:t>
      </w:r>
      <w:r w:rsidRPr="00EF153E">
        <w:rPr>
          <w:rFonts w:ascii="Times New Roman" w:eastAsia="Times New Roman" w:hAnsi="Times New Roman" w:cs="Times New Roman"/>
          <w:sz w:val="24"/>
          <w:szCs w:val="24"/>
        </w:rPr>
        <w:t xml:space="preserve"> </w:t>
      </w:r>
      <w:r w:rsidR="004D122D">
        <w:rPr>
          <w:rFonts w:ascii="Times New Roman" w:eastAsia="Times New Roman" w:hAnsi="Times New Roman" w:cs="Times New Roman"/>
          <w:sz w:val="24"/>
          <w:szCs w:val="24"/>
        </w:rPr>
        <w:t>during 2022-23.</w:t>
      </w:r>
    </w:p>
    <w:p w14:paraId="2B93DA85" w14:textId="77777777" w:rsidR="00DA472D" w:rsidRDefault="00DA472D" w:rsidP="008E06D5">
      <w:pPr>
        <w:spacing w:before="120" w:after="120" w:line="276" w:lineRule="auto"/>
        <w:ind w:firstLine="360"/>
        <w:jc w:val="both"/>
        <w:rPr>
          <w:rFonts w:ascii="Times New Roman" w:eastAsia="Times New Roman" w:hAnsi="Times New Roman" w:cs="Times New Roman"/>
          <w:bCs/>
          <w:i/>
          <w:iCs/>
          <w:sz w:val="24"/>
          <w:szCs w:val="24"/>
        </w:rPr>
      </w:pPr>
      <w:r w:rsidRPr="00DA472D">
        <w:rPr>
          <w:rFonts w:ascii="Times New Roman" w:eastAsia="Times New Roman" w:hAnsi="Times New Roman" w:cs="Times New Roman"/>
          <w:bCs/>
          <w:i/>
          <w:iCs/>
          <w:sz w:val="24"/>
          <w:szCs w:val="24"/>
        </w:rPr>
        <w:t>This has reference to Statements 2, 4, 5, 14, 15 and 16 of the Finance Accounts.</w:t>
      </w:r>
    </w:p>
    <w:p w14:paraId="54B4503E" w14:textId="77777777" w:rsidR="00E92636" w:rsidRPr="00EF153E" w:rsidRDefault="00095B2E" w:rsidP="00CF2F14">
      <w:pPr>
        <w:pStyle w:val="ListParagraph"/>
        <w:widowControl w:val="0"/>
        <w:numPr>
          <w:ilvl w:val="0"/>
          <w:numId w:val="20"/>
        </w:numPr>
        <w:autoSpaceDE w:val="0"/>
        <w:autoSpaceDN w:val="0"/>
        <w:adjustRightInd w:val="0"/>
        <w:spacing w:before="240" w:after="240" w:line="288" w:lineRule="auto"/>
        <w:contextualSpacing w:val="0"/>
        <w:jc w:val="both"/>
        <w:rPr>
          <w:rFonts w:ascii="Times New Roman" w:hAnsi="Times New Roman" w:cs="Times New Roman"/>
          <w:sz w:val="24"/>
          <w:szCs w:val="24"/>
        </w:rPr>
      </w:pPr>
      <w:r w:rsidRPr="00EF153E">
        <w:rPr>
          <w:rFonts w:ascii="Times New Roman" w:eastAsia="Times New Roman" w:hAnsi="Times New Roman" w:cs="Times New Roman"/>
          <w:b/>
          <w:bCs/>
          <w:iCs/>
          <w:sz w:val="24"/>
          <w:szCs w:val="24"/>
        </w:rPr>
        <w:t>Writing</w:t>
      </w:r>
      <w:r w:rsidRPr="00EF153E">
        <w:rPr>
          <w:rFonts w:ascii="Times New Roman" w:hAnsi="Times New Roman" w:cs="Times New Roman"/>
          <w:b/>
          <w:bCs/>
          <w:sz w:val="24"/>
          <w:szCs w:val="24"/>
        </w:rPr>
        <w:t xml:space="preserve"> off of Central Loans:</w:t>
      </w:r>
    </w:p>
    <w:p w14:paraId="24773D35" w14:textId="4F850B8F" w:rsidR="0005325B" w:rsidRDefault="00095B2E" w:rsidP="00C01957">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Further to the recommendations of the Thirteenth Finance Commission, Ministry of Finance, Government of India, in February 2012, had written off loans advanced to the State Government by various Ministries (except those advanced by the Ministry of Finance itself) as on 31 March 2010, towards Central Plan and Centrally Sponsored Schemes. Ministry of Finance permitted the State Governments to adjust the excess repayments of principal and interest made from the effective date of the order (31</w:t>
      </w:r>
      <w:r w:rsidR="00EE3BD0">
        <w:rPr>
          <w:rFonts w:ascii="Times New Roman" w:hAnsi="Times New Roman" w:cs="Times New Roman"/>
          <w:sz w:val="24"/>
          <w:szCs w:val="24"/>
        </w:rPr>
        <w:t> </w:t>
      </w:r>
      <w:r w:rsidRPr="00EF153E">
        <w:rPr>
          <w:rFonts w:ascii="Times New Roman" w:hAnsi="Times New Roman" w:cs="Times New Roman"/>
          <w:sz w:val="24"/>
          <w:szCs w:val="24"/>
        </w:rPr>
        <w:t xml:space="preserve">March 2010) and its implementation against future repayments to the Ministry of Finance. The Government of </w:t>
      </w:r>
      <w:r w:rsidR="0062462D" w:rsidRPr="00EF153E">
        <w:rPr>
          <w:rFonts w:ascii="Times New Roman" w:hAnsi="Times New Roman" w:cs="Times New Roman"/>
          <w:sz w:val="24"/>
          <w:szCs w:val="24"/>
        </w:rPr>
        <w:t>Manipur</w:t>
      </w:r>
      <w:r w:rsidRPr="00EF153E">
        <w:rPr>
          <w:rFonts w:ascii="Times New Roman" w:hAnsi="Times New Roman" w:cs="Times New Roman"/>
          <w:sz w:val="24"/>
          <w:szCs w:val="24"/>
        </w:rPr>
        <w:t xml:space="preserve"> had made excess repayment of </w:t>
      </w:r>
      <w:r w:rsidR="00EF153E">
        <w:rPr>
          <w:rFonts w:ascii="Times New Roman" w:hAnsi="Times New Roman" w:cs="Times New Roman"/>
          <w:sz w:val="24"/>
          <w:szCs w:val="24"/>
        </w:rPr>
        <w:t>₹</w:t>
      </w:r>
      <w:r w:rsidR="00CB3778">
        <w:rPr>
          <w:rFonts w:ascii="Times New Roman" w:hAnsi="Times New Roman" w:cs="Times New Roman"/>
          <w:sz w:val="24"/>
          <w:szCs w:val="24"/>
        </w:rPr>
        <w:t>7.08</w:t>
      </w:r>
      <w:r w:rsidRPr="00EF153E">
        <w:rPr>
          <w:rFonts w:ascii="Times New Roman" w:hAnsi="Times New Roman" w:cs="Times New Roman"/>
          <w:sz w:val="24"/>
          <w:szCs w:val="24"/>
        </w:rPr>
        <w:t xml:space="preserve"> crore to end of 31 March </w:t>
      </w:r>
      <w:r w:rsidR="0062462D" w:rsidRPr="00EF153E">
        <w:rPr>
          <w:rFonts w:ascii="Times New Roman" w:hAnsi="Times New Roman" w:cs="Times New Roman"/>
          <w:sz w:val="24"/>
          <w:szCs w:val="24"/>
        </w:rPr>
        <w:t>2014</w:t>
      </w:r>
      <w:r w:rsidRPr="00EF153E">
        <w:rPr>
          <w:rFonts w:ascii="Times New Roman" w:hAnsi="Times New Roman" w:cs="Times New Roman"/>
          <w:sz w:val="24"/>
          <w:szCs w:val="24"/>
        </w:rPr>
        <w:t xml:space="preserve"> of which, Ministry of Finance has so far adjusted </w:t>
      </w:r>
      <w:r w:rsidR="00EF153E">
        <w:rPr>
          <w:rFonts w:ascii="Times New Roman" w:hAnsi="Times New Roman" w:cs="Times New Roman"/>
          <w:sz w:val="24"/>
          <w:szCs w:val="24"/>
        </w:rPr>
        <w:t>₹</w:t>
      </w:r>
      <w:r w:rsidR="00E04FD4">
        <w:rPr>
          <w:rFonts w:ascii="Times New Roman" w:hAnsi="Times New Roman" w:cs="Times New Roman"/>
          <w:sz w:val="24"/>
          <w:szCs w:val="24"/>
        </w:rPr>
        <w:t xml:space="preserve"> </w:t>
      </w:r>
      <w:r w:rsidR="00CB3778">
        <w:rPr>
          <w:rFonts w:ascii="Times New Roman" w:hAnsi="Times New Roman" w:cs="Times New Roman"/>
          <w:sz w:val="24"/>
          <w:szCs w:val="24"/>
        </w:rPr>
        <w:t>2.99</w:t>
      </w:r>
      <w:r w:rsidRPr="00EF153E">
        <w:rPr>
          <w:rFonts w:ascii="Times New Roman" w:hAnsi="Times New Roman" w:cs="Times New Roman"/>
          <w:sz w:val="24"/>
          <w:szCs w:val="24"/>
        </w:rPr>
        <w:t xml:space="preserve"> crore.</w:t>
      </w:r>
      <w:r w:rsidR="0005325B" w:rsidRPr="0005325B">
        <w:rPr>
          <w:rFonts w:ascii="Times New Roman" w:hAnsi="Times New Roman" w:cs="Times New Roman"/>
          <w:sz w:val="24"/>
          <w:szCs w:val="24"/>
        </w:rPr>
        <w:t xml:space="preserve"> </w:t>
      </w:r>
    </w:p>
    <w:p w14:paraId="0D73D633" w14:textId="77777777" w:rsidR="00D041DA" w:rsidRDefault="00DA472D" w:rsidP="0005325B">
      <w:pPr>
        <w:widowControl w:val="0"/>
        <w:autoSpaceDE w:val="0"/>
        <w:autoSpaceDN w:val="0"/>
        <w:adjustRightInd w:val="0"/>
        <w:spacing w:before="120" w:after="120" w:line="288" w:lineRule="auto"/>
        <w:ind w:left="360"/>
        <w:jc w:val="both"/>
        <w:rPr>
          <w:rFonts w:ascii="Times New Roman" w:hAnsi="Times New Roman" w:cs="Times New Roman"/>
          <w:i/>
          <w:sz w:val="24"/>
          <w:szCs w:val="24"/>
        </w:rPr>
      </w:pPr>
      <w:r w:rsidRPr="00DA472D">
        <w:rPr>
          <w:rFonts w:ascii="Times New Roman" w:hAnsi="Times New Roman" w:cs="Times New Roman"/>
          <w:i/>
          <w:sz w:val="24"/>
          <w:szCs w:val="24"/>
        </w:rPr>
        <w:t>This has reference to Statement 17 of the Finance Accounts.</w:t>
      </w:r>
    </w:p>
    <w:p w14:paraId="2FED21FE" w14:textId="77777777" w:rsidR="00E92636" w:rsidRPr="00EF153E" w:rsidRDefault="00F71558" w:rsidP="00CF2F14">
      <w:pPr>
        <w:pStyle w:val="ListParagraph"/>
        <w:widowControl w:val="0"/>
        <w:numPr>
          <w:ilvl w:val="0"/>
          <w:numId w:val="20"/>
        </w:numPr>
        <w:autoSpaceDE w:val="0"/>
        <w:autoSpaceDN w:val="0"/>
        <w:adjustRightInd w:val="0"/>
        <w:spacing w:before="240" w:after="240" w:line="288" w:lineRule="auto"/>
        <w:contextualSpacing w:val="0"/>
        <w:jc w:val="both"/>
        <w:rPr>
          <w:rFonts w:ascii="Times New Roman" w:hAnsi="Times New Roman" w:cs="Times New Roman"/>
        </w:rPr>
      </w:pPr>
      <w:r w:rsidRPr="00EF153E">
        <w:rPr>
          <w:rFonts w:ascii="Times New Roman" w:hAnsi="Times New Roman" w:cs="Times New Roman"/>
          <w:b/>
          <w:bCs/>
          <w:sz w:val="24"/>
          <w:szCs w:val="24"/>
        </w:rPr>
        <w:t>Loans</w:t>
      </w:r>
      <w:r w:rsidRPr="00EF153E">
        <w:rPr>
          <w:rFonts w:ascii="Times New Roman" w:hAnsi="Times New Roman" w:cs="Times New Roman"/>
          <w:b/>
          <w:sz w:val="24"/>
          <w:szCs w:val="24"/>
        </w:rPr>
        <w:t xml:space="preserve"> given by the State Government</w:t>
      </w:r>
      <w:r w:rsidR="00987074" w:rsidRPr="00EF153E">
        <w:rPr>
          <w:rFonts w:ascii="Times New Roman" w:hAnsi="Times New Roman" w:cs="Times New Roman"/>
          <w:b/>
          <w:sz w:val="24"/>
          <w:szCs w:val="24"/>
        </w:rPr>
        <w:t>:</w:t>
      </w:r>
    </w:p>
    <w:p w14:paraId="7A0210B3" w14:textId="221EAB49" w:rsidR="00BF03D4" w:rsidRDefault="00BF03D4" w:rsidP="00C01957">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BF03D4">
        <w:rPr>
          <w:rFonts w:ascii="Times New Roman" w:hAnsi="Times New Roman" w:cs="Times New Roman"/>
          <w:sz w:val="24"/>
          <w:szCs w:val="24"/>
        </w:rPr>
        <w:t xml:space="preserve">In respect of old loans amounting to ₹152.83 crore involving 10 entities, recoveries of principal has not been effected during the past several years, </w:t>
      </w:r>
      <w:r>
        <w:rPr>
          <w:rFonts w:ascii="Times New Roman" w:hAnsi="Times New Roman" w:cs="Times New Roman"/>
          <w:sz w:val="24"/>
          <w:szCs w:val="24"/>
        </w:rPr>
        <w:t>which includes loan pending since</w:t>
      </w:r>
      <w:r w:rsidR="00D36239">
        <w:rPr>
          <w:rFonts w:ascii="Times New Roman" w:hAnsi="Times New Roman" w:cs="Times New Roman"/>
          <w:sz w:val="24"/>
          <w:szCs w:val="24"/>
        </w:rPr>
        <w:t xml:space="preserve"> the year 1969-70</w:t>
      </w:r>
      <w:r w:rsidRPr="00BF03D4">
        <w:rPr>
          <w:rFonts w:ascii="Times New Roman" w:hAnsi="Times New Roman" w:cs="Times New Roman"/>
          <w:sz w:val="24"/>
          <w:szCs w:val="24"/>
        </w:rPr>
        <w:t xml:space="preserve">. </w:t>
      </w:r>
    </w:p>
    <w:p w14:paraId="665CFE08" w14:textId="77777777" w:rsidR="00C01957" w:rsidRPr="00BF03D4" w:rsidRDefault="00C01957" w:rsidP="00C01957">
      <w:pPr>
        <w:widowControl w:val="0"/>
        <w:autoSpaceDE w:val="0"/>
        <w:autoSpaceDN w:val="0"/>
        <w:adjustRightInd w:val="0"/>
        <w:spacing w:before="240" w:after="240" w:line="288" w:lineRule="auto"/>
        <w:ind w:left="360"/>
        <w:jc w:val="both"/>
        <w:rPr>
          <w:rFonts w:ascii="Times New Roman" w:hAnsi="Times New Roman" w:cs="Times New Roman"/>
        </w:rPr>
      </w:pPr>
    </w:p>
    <w:p w14:paraId="3C47A2EE" w14:textId="77777777" w:rsidR="00BF03D4" w:rsidRPr="00BF03D4" w:rsidRDefault="00BF03D4" w:rsidP="00C01957">
      <w:pPr>
        <w:widowControl w:val="0"/>
        <w:autoSpaceDE w:val="0"/>
        <w:autoSpaceDN w:val="0"/>
        <w:adjustRightInd w:val="0"/>
        <w:spacing w:before="240" w:after="240" w:line="288" w:lineRule="auto"/>
        <w:ind w:left="284"/>
        <w:jc w:val="both"/>
        <w:rPr>
          <w:rFonts w:ascii="Times New Roman" w:hAnsi="Times New Roman" w:cs="Times New Roman"/>
          <w:sz w:val="24"/>
          <w:szCs w:val="24"/>
        </w:rPr>
      </w:pPr>
      <w:r w:rsidRPr="00BF03D4">
        <w:rPr>
          <w:rFonts w:ascii="Times New Roman" w:hAnsi="Times New Roman" w:cs="Times New Roman"/>
          <w:sz w:val="24"/>
          <w:szCs w:val="24"/>
        </w:rPr>
        <w:lastRenderedPageBreak/>
        <w:t xml:space="preserve">Terms and conditions of repayment of loans have not been settled for loans amounting to ₹210.93 crore to Statutory Bodies/Other entities (details are in additional disclosures to Statement 18 </w:t>
      </w:r>
      <w:r w:rsidRPr="00BF03D4">
        <w:rPr>
          <w:rStyle w:val="zmsearchresult"/>
          <w:rFonts w:ascii="Times New Roman" w:hAnsi="Times New Roman" w:cs="Times New Roman"/>
          <w:bCs/>
          <w:sz w:val="24"/>
          <w:szCs w:val="24"/>
        </w:rPr>
        <w:t>of the Finance Accounts</w:t>
      </w:r>
      <w:r w:rsidRPr="00BF03D4">
        <w:rPr>
          <w:rFonts w:ascii="Times New Roman" w:hAnsi="Times New Roman" w:cs="Times New Roman"/>
          <w:sz w:val="24"/>
          <w:szCs w:val="24"/>
        </w:rPr>
        <w:t xml:space="preserve">). Consequently, the receivables of the State Government on this account could not be estimated. </w:t>
      </w:r>
    </w:p>
    <w:p w14:paraId="234260B3" w14:textId="77777777" w:rsidR="00BF03D4" w:rsidRPr="007A5581" w:rsidRDefault="00BF03D4" w:rsidP="007A5581">
      <w:pPr>
        <w:spacing w:before="120" w:after="120" w:line="288" w:lineRule="auto"/>
        <w:ind w:left="284"/>
        <w:jc w:val="both"/>
        <w:rPr>
          <w:rFonts w:ascii="Times New Roman" w:hAnsi="Times New Roman" w:cs="Times New Roman"/>
          <w:sz w:val="24"/>
          <w:szCs w:val="24"/>
        </w:rPr>
      </w:pPr>
      <w:r w:rsidRPr="007A5581">
        <w:rPr>
          <w:rFonts w:ascii="Times New Roman" w:hAnsi="Times New Roman" w:cs="Times New Roman"/>
          <w:sz w:val="24"/>
          <w:szCs w:val="24"/>
        </w:rPr>
        <w:t xml:space="preserve">The Principal Accountant General (A&amp;E) annually communicates loan balances (where detailed accounts are maintained by the Principal Accountant General) to the loan sanctioning departments for verification and acceptance. However, no loanees have confirmed the balances.  Details of information awaited from Departmental Officers for Reconciliation of Balances have been provided in Appendix-VII </w:t>
      </w:r>
      <w:r w:rsidRPr="007A5581">
        <w:rPr>
          <w:rStyle w:val="zmsearchresult"/>
          <w:rFonts w:ascii="Times New Roman" w:hAnsi="Times New Roman" w:cs="Times New Roman"/>
          <w:bCs/>
          <w:sz w:val="24"/>
          <w:szCs w:val="24"/>
        </w:rPr>
        <w:t>of the Finance Accounts</w:t>
      </w:r>
      <w:r w:rsidRPr="007A5581">
        <w:rPr>
          <w:rFonts w:ascii="Times New Roman" w:hAnsi="Times New Roman" w:cs="Times New Roman"/>
          <w:sz w:val="24"/>
          <w:szCs w:val="24"/>
        </w:rPr>
        <w:t>.</w:t>
      </w:r>
    </w:p>
    <w:p w14:paraId="44847D82" w14:textId="41AF4E40" w:rsidR="00BF03D4" w:rsidRPr="007A5581" w:rsidRDefault="007A5581" w:rsidP="00C01957">
      <w:pPr>
        <w:spacing w:before="240" w:after="240" w:line="288" w:lineRule="auto"/>
        <w:jc w:val="both"/>
        <w:rPr>
          <w:rFonts w:ascii="Times New Roman" w:hAnsi="Times New Roman" w:cs="Times New Roman"/>
          <w:i/>
          <w:sz w:val="24"/>
          <w:szCs w:val="24"/>
        </w:rPr>
      </w:pPr>
      <w:r>
        <w:rPr>
          <w:rFonts w:ascii="Times New Roman" w:hAnsi="Times New Roman" w:cs="Times New Roman"/>
          <w:i/>
          <w:sz w:val="24"/>
          <w:szCs w:val="24"/>
        </w:rPr>
        <w:t xml:space="preserve">     </w:t>
      </w:r>
      <w:r w:rsidR="00BF03D4" w:rsidRPr="007A5581">
        <w:rPr>
          <w:rFonts w:ascii="Times New Roman" w:hAnsi="Times New Roman" w:cs="Times New Roman"/>
          <w:i/>
          <w:sz w:val="24"/>
          <w:szCs w:val="24"/>
        </w:rPr>
        <w:t>This has reference to Statements 7 &amp; 18 of the Finance Accounts.</w:t>
      </w:r>
    </w:p>
    <w:p w14:paraId="4D99E0F6" w14:textId="77777777" w:rsidR="00E92636" w:rsidRPr="00EF153E" w:rsidRDefault="00EA7270" w:rsidP="00FC1E42">
      <w:pPr>
        <w:pStyle w:val="ListParagraph"/>
        <w:widowControl w:val="0"/>
        <w:numPr>
          <w:ilvl w:val="0"/>
          <w:numId w:val="20"/>
        </w:numPr>
        <w:autoSpaceDE w:val="0"/>
        <w:autoSpaceDN w:val="0"/>
        <w:adjustRightInd w:val="0"/>
        <w:spacing w:before="240" w:after="240" w:line="288" w:lineRule="auto"/>
        <w:ind w:left="1077"/>
        <w:contextualSpacing w:val="0"/>
        <w:jc w:val="both"/>
        <w:rPr>
          <w:rFonts w:ascii="Times New Roman" w:hAnsi="Times New Roman" w:cs="Times New Roman"/>
          <w:sz w:val="24"/>
          <w:szCs w:val="24"/>
        </w:rPr>
      </w:pPr>
      <w:r w:rsidRPr="00EF153E">
        <w:rPr>
          <w:rFonts w:ascii="Times New Roman" w:hAnsi="Times New Roman" w:cs="Times New Roman"/>
          <w:b/>
          <w:sz w:val="24"/>
          <w:szCs w:val="24"/>
        </w:rPr>
        <w:t>Committed</w:t>
      </w:r>
      <w:r w:rsidRPr="00EF153E">
        <w:rPr>
          <w:rFonts w:ascii="Times New Roman" w:hAnsi="Times New Roman" w:cs="Times New Roman"/>
          <w:b/>
          <w:bCs/>
          <w:sz w:val="24"/>
          <w:szCs w:val="24"/>
        </w:rPr>
        <w:t xml:space="preserve"> Liabilities:</w:t>
      </w:r>
    </w:p>
    <w:p w14:paraId="2358170F" w14:textId="77777777" w:rsidR="009D29FC" w:rsidRDefault="00EA7270" w:rsidP="00FB4BC7">
      <w:pPr>
        <w:widowControl w:val="0"/>
        <w:autoSpaceDE w:val="0"/>
        <w:autoSpaceDN w:val="0"/>
        <w:adjustRightInd w:val="0"/>
        <w:spacing w:before="120" w:after="120" w:line="288" w:lineRule="auto"/>
        <w:ind w:left="360"/>
        <w:jc w:val="both"/>
        <w:rPr>
          <w:rFonts w:ascii="Times New Roman" w:hAnsi="Times New Roman" w:cs="Times New Roman"/>
          <w:b/>
          <w:bCs/>
          <w:i/>
          <w:iCs/>
          <w:sz w:val="24"/>
          <w:szCs w:val="24"/>
        </w:rPr>
      </w:pPr>
      <w:r w:rsidRPr="00EF153E">
        <w:rPr>
          <w:rFonts w:ascii="Times New Roman" w:hAnsi="Times New Roman" w:cs="Times New Roman"/>
          <w:sz w:val="24"/>
          <w:szCs w:val="24"/>
        </w:rPr>
        <w:t xml:space="preserve">In terms of the Twelfth Finance Commission recommendations, action has been initiated by the Central Government to move towards accrual basis of accounting. However, as the transition would occur in stages, for a changeover to the </w:t>
      </w:r>
      <w:r w:rsidR="004526BC" w:rsidRPr="00EF153E">
        <w:rPr>
          <w:rFonts w:ascii="Times New Roman" w:hAnsi="Times New Roman" w:cs="Times New Roman"/>
          <w:sz w:val="24"/>
          <w:szCs w:val="24"/>
        </w:rPr>
        <w:t>accrual-based</w:t>
      </w:r>
      <w:r w:rsidRPr="00EF153E">
        <w:rPr>
          <w:rFonts w:ascii="Times New Roman" w:hAnsi="Times New Roman" w:cs="Times New Roman"/>
          <w:sz w:val="24"/>
          <w:szCs w:val="24"/>
        </w:rPr>
        <w:t xml:space="preserve"> system of accounting, some additional information in the form of statement is required to be appended to the present system of cash accounting to ensure more transparency in decision-making. The State Government ha</w:t>
      </w:r>
      <w:r w:rsidR="00E24C26" w:rsidRPr="00EF153E">
        <w:rPr>
          <w:rFonts w:ascii="Times New Roman" w:hAnsi="Times New Roman" w:cs="Times New Roman"/>
          <w:sz w:val="24"/>
          <w:szCs w:val="24"/>
        </w:rPr>
        <w:t>s</w:t>
      </w:r>
      <w:r w:rsidRPr="00EF153E">
        <w:rPr>
          <w:rFonts w:ascii="Times New Roman" w:hAnsi="Times New Roman" w:cs="Times New Roman"/>
          <w:sz w:val="24"/>
          <w:szCs w:val="24"/>
        </w:rPr>
        <w:t xml:space="preserve"> furnish</w:t>
      </w:r>
      <w:r w:rsidR="00C55154">
        <w:rPr>
          <w:rFonts w:ascii="Times New Roman" w:hAnsi="Times New Roman" w:cs="Times New Roman"/>
          <w:sz w:val="24"/>
          <w:szCs w:val="24"/>
        </w:rPr>
        <w:t>ed</w:t>
      </w:r>
      <w:r w:rsidRPr="00EF153E">
        <w:rPr>
          <w:rFonts w:ascii="Times New Roman" w:hAnsi="Times New Roman" w:cs="Times New Roman"/>
          <w:sz w:val="24"/>
          <w:szCs w:val="24"/>
        </w:rPr>
        <w:t xml:space="preserve"> information on Committed Liabilities</w:t>
      </w:r>
      <w:r w:rsidR="00B33764" w:rsidRPr="00EF153E">
        <w:rPr>
          <w:rFonts w:ascii="Times New Roman" w:hAnsi="Times New Roman" w:cs="Times New Roman"/>
          <w:sz w:val="24"/>
          <w:szCs w:val="24"/>
        </w:rPr>
        <w:t xml:space="preserve">, </w:t>
      </w:r>
      <w:r w:rsidRPr="00EF153E">
        <w:rPr>
          <w:rFonts w:ascii="Times New Roman" w:hAnsi="Times New Roman" w:cs="Times New Roman"/>
          <w:bCs/>
          <w:iCs/>
          <w:sz w:val="24"/>
          <w:szCs w:val="24"/>
        </w:rPr>
        <w:t>and the same has been reflected</w:t>
      </w:r>
      <w:r w:rsidRPr="00EF153E">
        <w:rPr>
          <w:rFonts w:ascii="Times New Roman" w:hAnsi="Times New Roman" w:cs="Times New Roman"/>
          <w:sz w:val="24"/>
          <w:szCs w:val="24"/>
        </w:rPr>
        <w:t xml:space="preserve"> in Appendix-XI</w:t>
      </w:r>
      <w:r w:rsidR="00E77901" w:rsidRPr="00EF153E">
        <w:rPr>
          <w:rFonts w:ascii="Times New Roman" w:hAnsi="Times New Roman" w:cs="Times New Roman"/>
          <w:sz w:val="24"/>
          <w:szCs w:val="24"/>
        </w:rPr>
        <w:t>I</w:t>
      </w:r>
      <w:r w:rsidR="000565AE" w:rsidRPr="00EF153E">
        <w:rPr>
          <w:rFonts w:ascii="Times New Roman" w:hAnsi="Times New Roman" w:cs="Times New Roman"/>
          <w:sz w:val="24"/>
          <w:szCs w:val="24"/>
        </w:rPr>
        <w:t xml:space="preserve"> </w:t>
      </w:r>
      <w:r w:rsidR="00300493" w:rsidRPr="00EF153E">
        <w:rPr>
          <w:rStyle w:val="zmsearchresult"/>
          <w:rFonts w:ascii="Times New Roman" w:hAnsi="Times New Roman" w:cs="Times New Roman"/>
          <w:bCs/>
          <w:sz w:val="24"/>
          <w:szCs w:val="24"/>
        </w:rPr>
        <w:t>of the Finance Accounts</w:t>
      </w:r>
      <w:r w:rsidRPr="00EF153E">
        <w:rPr>
          <w:rFonts w:ascii="Times New Roman" w:hAnsi="Times New Roman" w:cs="Times New Roman"/>
          <w:sz w:val="24"/>
          <w:szCs w:val="24"/>
        </w:rPr>
        <w:t>.</w:t>
      </w:r>
      <w:r w:rsidR="00F02B56" w:rsidRPr="00EF153E">
        <w:rPr>
          <w:rFonts w:ascii="Times New Roman" w:hAnsi="Times New Roman" w:cs="Times New Roman"/>
          <w:b/>
          <w:bCs/>
          <w:i/>
          <w:iCs/>
          <w:sz w:val="24"/>
          <w:szCs w:val="24"/>
        </w:rPr>
        <w:t xml:space="preserve"> </w:t>
      </w:r>
    </w:p>
    <w:p w14:paraId="6F1D773A" w14:textId="77777777" w:rsidR="00E92636" w:rsidRPr="00EF153E" w:rsidRDefault="00E77901" w:rsidP="00CF2F14">
      <w:pPr>
        <w:pStyle w:val="ListParagraph"/>
        <w:widowControl w:val="0"/>
        <w:numPr>
          <w:ilvl w:val="0"/>
          <w:numId w:val="20"/>
        </w:numPr>
        <w:autoSpaceDE w:val="0"/>
        <w:autoSpaceDN w:val="0"/>
        <w:adjustRightInd w:val="0"/>
        <w:spacing w:before="240" w:after="240" w:line="288" w:lineRule="auto"/>
        <w:contextualSpacing w:val="0"/>
        <w:jc w:val="both"/>
        <w:rPr>
          <w:rFonts w:ascii="Times New Roman" w:hAnsi="Times New Roman" w:cs="Times New Roman"/>
          <w:sz w:val="24"/>
          <w:szCs w:val="24"/>
        </w:rPr>
      </w:pPr>
      <w:r w:rsidRPr="00EF153E">
        <w:rPr>
          <w:rFonts w:ascii="Times New Roman" w:hAnsi="Times New Roman" w:cs="Times New Roman"/>
          <w:b/>
          <w:sz w:val="24"/>
          <w:szCs w:val="24"/>
        </w:rPr>
        <w:t>Restructuring</w:t>
      </w:r>
      <w:r w:rsidRPr="00EF153E">
        <w:rPr>
          <w:rFonts w:ascii="Times New Roman" w:hAnsi="Times New Roman" w:cs="Times New Roman"/>
          <w:b/>
          <w:bCs/>
          <w:sz w:val="24"/>
          <w:szCs w:val="24"/>
        </w:rPr>
        <w:t xml:space="preserve"> of Centrally Sponsored Schemes (CSSs)/Additional Central Assistance (ACA) excluding Block Grants:</w:t>
      </w:r>
    </w:p>
    <w:p w14:paraId="5873E53A" w14:textId="77777777" w:rsidR="00E77901" w:rsidRPr="00EF153E" w:rsidRDefault="00E77901" w:rsidP="00C01957">
      <w:pPr>
        <w:widowControl w:val="0"/>
        <w:autoSpaceDE w:val="0"/>
        <w:autoSpaceDN w:val="0"/>
        <w:adjustRightInd w:val="0"/>
        <w:spacing w:before="240" w:after="240" w:line="276" w:lineRule="auto"/>
        <w:ind w:left="360"/>
        <w:jc w:val="both"/>
        <w:rPr>
          <w:rFonts w:ascii="Times New Roman" w:hAnsi="Times New Roman" w:cs="Times New Roman"/>
          <w:sz w:val="24"/>
          <w:szCs w:val="24"/>
        </w:rPr>
      </w:pPr>
      <w:r w:rsidRPr="00EF153E">
        <w:rPr>
          <w:rFonts w:ascii="Times New Roman" w:hAnsi="Times New Roman" w:cs="Times New Roman"/>
          <w:sz w:val="24"/>
          <w:szCs w:val="24"/>
        </w:rPr>
        <w:t>Consequent to the merger of Plan/Non-Plan</w:t>
      </w:r>
      <w:r w:rsidR="002C6A63" w:rsidRPr="00EF153E">
        <w:rPr>
          <w:rFonts w:ascii="Times New Roman" w:hAnsi="Times New Roman" w:cs="Times New Roman"/>
          <w:sz w:val="24"/>
          <w:szCs w:val="24"/>
        </w:rPr>
        <w:t xml:space="preserve"> classification</w:t>
      </w:r>
      <w:r w:rsidRPr="00EF153E">
        <w:rPr>
          <w:rFonts w:ascii="Times New Roman" w:hAnsi="Times New Roman" w:cs="Times New Roman"/>
          <w:sz w:val="24"/>
          <w:szCs w:val="24"/>
        </w:rPr>
        <w:t>, the Central Assistance release is now classified as Central Assistance/Share under Centrally Sponsored Schemes.</w:t>
      </w:r>
    </w:p>
    <w:p w14:paraId="712DD755" w14:textId="77777777" w:rsidR="00E77901" w:rsidRDefault="00E77901" w:rsidP="00C01957">
      <w:pPr>
        <w:spacing w:before="240" w:after="240" w:line="276" w:lineRule="auto"/>
        <w:ind w:left="360"/>
        <w:jc w:val="both"/>
        <w:rPr>
          <w:rFonts w:ascii="Times New Roman" w:hAnsi="Times New Roman" w:cs="Times New Roman"/>
          <w:sz w:val="24"/>
          <w:szCs w:val="24"/>
        </w:rPr>
      </w:pPr>
      <w:r w:rsidRPr="00EF153E">
        <w:rPr>
          <w:rFonts w:ascii="Times New Roman" w:hAnsi="Times New Roman" w:cs="Times New Roman"/>
          <w:sz w:val="24"/>
          <w:szCs w:val="24"/>
        </w:rPr>
        <w:t>The total expenditure booked under Centrally Sponsored Schemes</w:t>
      </w:r>
      <w:r w:rsidR="002C6A63" w:rsidRPr="00EF153E">
        <w:rPr>
          <w:rFonts w:ascii="Times New Roman" w:hAnsi="Times New Roman" w:cs="Times New Roman"/>
          <w:sz w:val="24"/>
          <w:szCs w:val="24"/>
        </w:rPr>
        <w:t xml:space="preserve">, as on 31 March </w:t>
      </w:r>
      <w:r w:rsidR="000565AE" w:rsidRPr="00EF153E">
        <w:rPr>
          <w:rFonts w:ascii="Times New Roman" w:hAnsi="Times New Roman" w:cs="Times New Roman"/>
          <w:sz w:val="24"/>
          <w:szCs w:val="24"/>
        </w:rPr>
        <w:t>202</w:t>
      </w:r>
      <w:r w:rsidR="00193554">
        <w:rPr>
          <w:rFonts w:ascii="Times New Roman" w:hAnsi="Times New Roman" w:cs="Times New Roman"/>
          <w:sz w:val="24"/>
          <w:szCs w:val="24"/>
        </w:rPr>
        <w:t>3</w:t>
      </w:r>
      <w:r w:rsidR="002C6A63" w:rsidRPr="00EF153E">
        <w:rPr>
          <w:rFonts w:ascii="Times New Roman" w:hAnsi="Times New Roman" w:cs="Times New Roman"/>
          <w:sz w:val="24"/>
          <w:szCs w:val="24"/>
        </w:rPr>
        <w:t>,</w:t>
      </w:r>
      <w:r w:rsidRPr="00EF153E">
        <w:rPr>
          <w:rFonts w:ascii="Times New Roman" w:hAnsi="Times New Roman" w:cs="Times New Roman"/>
          <w:sz w:val="24"/>
          <w:szCs w:val="24"/>
        </w:rPr>
        <w:t xml:space="preserve"> is </w:t>
      </w:r>
      <w:r w:rsidR="00EF153E">
        <w:rPr>
          <w:rFonts w:ascii="Times New Roman" w:hAnsi="Times New Roman" w:cs="Times New Roman"/>
          <w:sz w:val="24"/>
          <w:szCs w:val="24"/>
        </w:rPr>
        <w:t>₹</w:t>
      </w:r>
      <w:r w:rsidR="00A72F6D">
        <w:rPr>
          <w:rFonts w:ascii="Times New Roman" w:hAnsi="Times New Roman" w:cs="Times New Roman"/>
          <w:sz w:val="24"/>
          <w:szCs w:val="24"/>
        </w:rPr>
        <w:t>4,</w:t>
      </w:r>
      <w:r w:rsidR="003C1E31">
        <w:rPr>
          <w:rFonts w:ascii="Times New Roman" w:hAnsi="Times New Roman" w:cs="Times New Roman"/>
          <w:sz w:val="24"/>
          <w:szCs w:val="24"/>
        </w:rPr>
        <w:t>424.03</w:t>
      </w:r>
      <w:r w:rsidRPr="00EF153E">
        <w:rPr>
          <w:rFonts w:ascii="Times New Roman" w:hAnsi="Times New Roman" w:cs="Times New Roman"/>
          <w:sz w:val="24"/>
          <w:szCs w:val="24"/>
        </w:rPr>
        <w:t xml:space="preserve"> crore (Revenue Expenditure </w:t>
      </w:r>
      <w:r w:rsidR="00EF153E">
        <w:rPr>
          <w:rFonts w:ascii="Times New Roman" w:hAnsi="Times New Roman" w:cs="Times New Roman"/>
          <w:sz w:val="24"/>
          <w:szCs w:val="24"/>
        </w:rPr>
        <w:t>₹</w:t>
      </w:r>
      <w:r w:rsidR="00201F7B">
        <w:rPr>
          <w:rFonts w:ascii="Times New Roman" w:hAnsi="Times New Roman" w:cs="Times New Roman"/>
          <w:sz w:val="24"/>
          <w:szCs w:val="24"/>
        </w:rPr>
        <w:t>2,</w:t>
      </w:r>
      <w:r w:rsidR="003C1E31">
        <w:rPr>
          <w:rFonts w:ascii="Times New Roman" w:hAnsi="Times New Roman" w:cs="Times New Roman"/>
          <w:sz w:val="24"/>
          <w:szCs w:val="24"/>
        </w:rPr>
        <w:t>697.80</w:t>
      </w:r>
      <w:r w:rsidRPr="00EF153E">
        <w:rPr>
          <w:rFonts w:ascii="Times New Roman" w:hAnsi="Times New Roman" w:cs="Times New Roman"/>
          <w:sz w:val="24"/>
          <w:szCs w:val="24"/>
        </w:rPr>
        <w:t xml:space="preserve"> crore and Capital Expenditure </w:t>
      </w:r>
      <w:r w:rsidR="00EF153E">
        <w:rPr>
          <w:rFonts w:ascii="Times New Roman" w:hAnsi="Times New Roman" w:cs="Times New Roman"/>
          <w:sz w:val="24"/>
          <w:szCs w:val="24"/>
        </w:rPr>
        <w:t>₹</w:t>
      </w:r>
      <w:r w:rsidR="00201F7B">
        <w:rPr>
          <w:rFonts w:ascii="Times New Roman" w:hAnsi="Times New Roman" w:cs="Times New Roman"/>
          <w:sz w:val="24"/>
          <w:szCs w:val="24"/>
        </w:rPr>
        <w:t>1,</w:t>
      </w:r>
      <w:r w:rsidR="00A72F6D">
        <w:rPr>
          <w:rFonts w:ascii="Times New Roman" w:hAnsi="Times New Roman" w:cs="Times New Roman"/>
          <w:sz w:val="24"/>
          <w:szCs w:val="24"/>
        </w:rPr>
        <w:t>7</w:t>
      </w:r>
      <w:r w:rsidR="003C1E31">
        <w:rPr>
          <w:rFonts w:ascii="Times New Roman" w:hAnsi="Times New Roman" w:cs="Times New Roman"/>
          <w:sz w:val="24"/>
          <w:szCs w:val="24"/>
        </w:rPr>
        <w:t>26.23</w:t>
      </w:r>
      <w:r w:rsidRPr="00EF153E">
        <w:rPr>
          <w:rFonts w:ascii="Times New Roman" w:hAnsi="Times New Roman" w:cs="Times New Roman"/>
          <w:sz w:val="24"/>
          <w:szCs w:val="24"/>
        </w:rPr>
        <w:t xml:space="preserve"> crore)</w:t>
      </w:r>
      <w:r w:rsidR="00D041DA">
        <w:rPr>
          <w:rFonts w:ascii="Times New Roman" w:hAnsi="Times New Roman" w:cs="Times New Roman"/>
          <w:sz w:val="24"/>
          <w:szCs w:val="24"/>
        </w:rPr>
        <w:t xml:space="preserve"> which includes expenditure</w:t>
      </w:r>
      <w:r w:rsidR="0007153C">
        <w:rPr>
          <w:rFonts w:ascii="Times New Roman" w:hAnsi="Times New Roman" w:cs="Times New Roman"/>
          <w:sz w:val="24"/>
          <w:szCs w:val="24"/>
        </w:rPr>
        <w:t xml:space="preserve"> of ₹</w:t>
      </w:r>
      <w:r w:rsidR="00AF72EB">
        <w:rPr>
          <w:rFonts w:ascii="Times New Roman" w:hAnsi="Times New Roman" w:cs="Times New Roman"/>
          <w:sz w:val="24"/>
          <w:szCs w:val="24"/>
        </w:rPr>
        <w:t>317.2</w:t>
      </w:r>
      <w:r w:rsidR="00A72F6D">
        <w:rPr>
          <w:rFonts w:ascii="Times New Roman" w:hAnsi="Times New Roman" w:cs="Times New Roman"/>
          <w:sz w:val="24"/>
          <w:szCs w:val="24"/>
        </w:rPr>
        <w:t>6</w:t>
      </w:r>
      <w:r w:rsidR="0007153C">
        <w:rPr>
          <w:rFonts w:ascii="Times New Roman" w:hAnsi="Times New Roman" w:cs="Times New Roman"/>
          <w:sz w:val="24"/>
          <w:szCs w:val="24"/>
        </w:rPr>
        <w:t xml:space="preserve"> crore</w:t>
      </w:r>
      <w:r w:rsidR="00D041DA">
        <w:rPr>
          <w:rFonts w:ascii="Times New Roman" w:hAnsi="Times New Roman" w:cs="Times New Roman"/>
          <w:sz w:val="24"/>
          <w:szCs w:val="24"/>
        </w:rPr>
        <w:t xml:space="preserve"> </w:t>
      </w:r>
      <w:r w:rsidR="0007153C">
        <w:rPr>
          <w:rFonts w:ascii="Times New Roman" w:hAnsi="Times New Roman" w:cs="Times New Roman"/>
          <w:sz w:val="24"/>
          <w:szCs w:val="24"/>
        </w:rPr>
        <w:t xml:space="preserve">of </w:t>
      </w:r>
      <w:r w:rsidR="00D041DA">
        <w:rPr>
          <w:rFonts w:ascii="Times New Roman" w:hAnsi="Times New Roman" w:cs="Times New Roman"/>
          <w:sz w:val="24"/>
          <w:szCs w:val="24"/>
        </w:rPr>
        <w:t xml:space="preserve">State share </w:t>
      </w:r>
      <w:r w:rsidR="009F6A7B">
        <w:rPr>
          <w:rFonts w:ascii="Times New Roman" w:hAnsi="Times New Roman" w:cs="Times New Roman"/>
          <w:sz w:val="24"/>
          <w:szCs w:val="24"/>
        </w:rPr>
        <w:t>for Centrally Sponsored Schemes (State Share of CSS-Revenue Expenditure ₹1</w:t>
      </w:r>
      <w:r w:rsidR="00A72F6D">
        <w:rPr>
          <w:rFonts w:ascii="Times New Roman" w:hAnsi="Times New Roman" w:cs="Times New Roman"/>
          <w:sz w:val="24"/>
          <w:szCs w:val="24"/>
        </w:rPr>
        <w:t xml:space="preserve">91.77 </w:t>
      </w:r>
      <w:r w:rsidR="009F6A7B">
        <w:rPr>
          <w:rFonts w:ascii="Times New Roman" w:hAnsi="Times New Roman" w:cs="Times New Roman"/>
          <w:sz w:val="24"/>
          <w:szCs w:val="24"/>
        </w:rPr>
        <w:t>crore + Capital Expenditure ₹1</w:t>
      </w:r>
      <w:r w:rsidR="00A72F6D">
        <w:rPr>
          <w:rFonts w:ascii="Times New Roman" w:hAnsi="Times New Roman" w:cs="Times New Roman"/>
          <w:sz w:val="24"/>
          <w:szCs w:val="24"/>
        </w:rPr>
        <w:t>25.49</w:t>
      </w:r>
      <w:r w:rsidR="009F6A7B">
        <w:rPr>
          <w:rFonts w:ascii="Times New Roman" w:hAnsi="Times New Roman" w:cs="Times New Roman"/>
          <w:sz w:val="24"/>
          <w:szCs w:val="24"/>
        </w:rPr>
        <w:t xml:space="preserve"> crore).</w:t>
      </w:r>
    </w:p>
    <w:p w14:paraId="06AABBFD" w14:textId="77777777" w:rsidR="00D041DA" w:rsidRDefault="00D041DA" w:rsidP="00D041DA">
      <w:pPr>
        <w:widowControl w:val="0"/>
        <w:autoSpaceDE w:val="0"/>
        <w:autoSpaceDN w:val="0"/>
        <w:adjustRightInd w:val="0"/>
        <w:spacing w:before="120" w:after="120" w:line="288" w:lineRule="auto"/>
        <w:ind w:left="360"/>
        <w:jc w:val="both"/>
        <w:rPr>
          <w:rFonts w:ascii="Times New Roman" w:hAnsi="Times New Roman" w:cs="Times New Roman"/>
          <w:bCs/>
          <w:i/>
          <w:iCs/>
          <w:sz w:val="24"/>
          <w:szCs w:val="24"/>
        </w:rPr>
      </w:pPr>
      <w:r w:rsidRPr="00D041DA">
        <w:rPr>
          <w:rFonts w:ascii="Times New Roman" w:hAnsi="Times New Roman" w:cs="Times New Roman"/>
          <w:bCs/>
          <w:i/>
          <w:iCs/>
          <w:sz w:val="24"/>
          <w:szCs w:val="24"/>
        </w:rPr>
        <w:t>This has reference to Statement</w:t>
      </w:r>
      <w:r w:rsidR="00DB36B1">
        <w:rPr>
          <w:rFonts w:ascii="Times New Roman" w:hAnsi="Times New Roman" w:cs="Times New Roman"/>
          <w:bCs/>
          <w:i/>
          <w:iCs/>
          <w:sz w:val="24"/>
          <w:szCs w:val="24"/>
        </w:rPr>
        <w:t>s</w:t>
      </w:r>
      <w:r w:rsidRPr="00D041DA">
        <w:rPr>
          <w:rFonts w:ascii="Times New Roman" w:hAnsi="Times New Roman" w:cs="Times New Roman"/>
          <w:bCs/>
          <w:i/>
          <w:iCs/>
          <w:sz w:val="24"/>
          <w:szCs w:val="24"/>
        </w:rPr>
        <w:t xml:space="preserve"> 15 and 16 of the Finance Accounts.</w:t>
      </w:r>
    </w:p>
    <w:p w14:paraId="5EFA7FCC" w14:textId="77777777" w:rsidR="004171E9" w:rsidRPr="00EF153E" w:rsidRDefault="00EA7270" w:rsidP="00CF2F14">
      <w:pPr>
        <w:pStyle w:val="ListParagraph"/>
        <w:widowControl w:val="0"/>
        <w:numPr>
          <w:ilvl w:val="0"/>
          <w:numId w:val="20"/>
        </w:numPr>
        <w:autoSpaceDE w:val="0"/>
        <w:autoSpaceDN w:val="0"/>
        <w:adjustRightInd w:val="0"/>
        <w:spacing w:before="240" w:after="240" w:line="288" w:lineRule="auto"/>
        <w:contextualSpacing w:val="0"/>
        <w:jc w:val="both"/>
        <w:rPr>
          <w:rFonts w:ascii="Times New Roman" w:hAnsi="Times New Roman" w:cs="Times New Roman"/>
          <w:b/>
          <w:bCs/>
          <w:sz w:val="24"/>
          <w:szCs w:val="24"/>
        </w:rPr>
      </w:pPr>
      <w:r w:rsidRPr="00EF153E">
        <w:rPr>
          <w:rFonts w:ascii="Times New Roman" w:hAnsi="Times New Roman" w:cs="Times New Roman"/>
          <w:b/>
          <w:bCs/>
          <w:sz w:val="24"/>
          <w:szCs w:val="24"/>
        </w:rPr>
        <w:t xml:space="preserve">Direct transfer of Central Scheme Funds to Implementing Agencies in the State (Funds </w:t>
      </w:r>
      <w:r w:rsidRPr="00EF153E">
        <w:rPr>
          <w:rFonts w:ascii="Times New Roman" w:hAnsi="Times New Roman" w:cs="Times New Roman"/>
          <w:b/>
          <w:sz w:val="24"/>
          <w:szCs w:val="24"/>
        </w:rPr>
        <w:t>routed</w:t>
      </w:r>
      <w:r w:rsidRPr="00EF153E">
        <w:rPr>
          <w:rFonts w:ascii="Times New Roman" w:hAnsi="Times New Roman" w:cs="Times New Roman"/>
          <w:b/>
          <w:bCs/>
          <w:sz w:val="24"/>
          <w:szCs w:val="24"/>
        </w:rPr>
        <w:t xml:space="preserve"> outside State Budget): </w:t>
      </w:r>
    </w:p>
    <w:p w14:paraId="4B05995D" w14:textId="060063F4" w:rsidR="00CC0F1A" w:rsidRPr="00EF153E" w:rsidRDefault="00EA7270" w:rsidP="00C01957">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EF153E">
        <w:rPr>
          <w:rFonts w:ascii="Times New Roman" w:hAnsi="Times New Roman" w:cs="Times New Roman"/>
          <w:bCs/>
          <w:sz w:val="24"/>
          <w:szCs w:val="24"/>
        </w:rPr>
        <w:t>As per</w:t>
      </w:r>
      <w:r w:rsidR="00DA7399" w:rsidRPr="00EF153E">
        <w:rPr>
          <w:rFonts w:ascii="Times New Roman" w:hAnsi="Times New Roman" w:cs="Times New Roman"/>
          <w:bCs/>
          <w:sz w:val="24"/>
          <w:szCs w:val="24"/>
        </w:rPr>
        <w:t xml:space="preserve"> the</w:t>
      </w:r>
      <w:r w:rsidRPr="00EF153E">
        <w:rPr>
          <w:rFonts w:ascii="Times New Roman" w:hAnsi="Times New Roman" w:cs="Times New Roman"/>
          <w:bCs/>
          <w:sz w:val="24"/>
          <w:szCs w:val="24"/>
        </w:rPr>
        <w:t xml:space="preserve"> PFMS portal of </w:t>
      </w:r>
      <w:r w:rsidR="00DA7399" w:rsidRPr="00EF153E">
        <w:rPr>
          <w:rFonts w:ascii="Times New Roman" w:hAnsi="Times New Roman" w:cs="Times New Roman"/>
          <w:bCs/>
          <w:sz w:val="24"/>
          <w:szCs w:val="24"/>
        </w:rPr>
        <w:t xml:space="preserve">the </w:t>
      </w:r>
      <w:r w:rsidRPr="00EF153E">
        <w:rPr>
          <w:rFonts w:ascii="Times New Roman" w:hAnsi="Times New Roman" w:cs="Times New Roman"/>
          <w:bCs/>
          <w:sz w:val="24"/>
          <w:szCs w:val="24"/>
        </w:rPr>
        <w:t>CGA,</w:t>
      </w:r>
      <w:r w:rsidR="0027132A">
        <w:rPr>
          <w:rFonts w:ascii="Times New Roman" w:hAnsi="Times New Roman" w:cs="Times New Roman"/>
          <w:bCs/>
          <w:sz w:val="24"/>
          <w:szCs w:val="24"/>
        </w:rPr>
        <w:t xml:space="preserve"> </w:t>
      </w:r>
      <w:r w:rsidR="00EF153E">
        <w:rPr>
          <w:rFonts w:ascii="Times New Roman" w:hAnsi="Times New Roman" w:cs="Times New Roman"/>
          <w:sz w:val="24"/>
          <w:szCs w:val="24"/>
        </w:rPr>
        <w:t>₹</w:t>
      </w:r>
      <w:r w:rsidR="00F62466">
        <w:rPr>
          <w:rFonts w:ascii="Times New Roman" w:hAnsi="Times New Roman" w:cs="Times New Roman"/>
          <w:sz w:val="24"/>
          <w:szCs w:val="24"/>
        </w:rPr>
        <w:t xml:space="preserve">749.45 </w:t>
      </w:r>
      <w:r w:rsidRPr="00EF153E">
        <w:rPr>
          <w:rFonts w:ascii="Times New Roman" w:hAnsi="Times New Roman" w:cs="Times New Roman"/>
          <w:sz w:val="24"/>
          <w:szCs w:val="24"/>
        </w:rPr>
        <w:t xml:space="preserve">crore was directly </w:t>
      </w:r>
      <w:r w:rsidR="001D0304">
        <w:rPr>
          <w:rFonts w:ascii="Times New Roman" w:hAnsi="Times New Roman" w:cs="Times New Roman"/>
          <w:sz w:val="24"/>
          <w:szCs w:val="24"/>
        </w:rPr>
        <w:t>transferred to</w:t>
      </w:r>
      <w:r w:rsidRPr="00EF153E">
        <w:rPr>
          <w:rFonts w:ascii="Times New Roman" w:hAnsi="Times New Roman" w:cs="Times New Roman"/>
          <w:sz w:val="24"/>
          <w:szCs w:val="24"/>
        </w:rPr>
        <w:t xml:space="preserve"> the implementing agencies in th</w:t>
      </w:r>
      <w:r w:rsidR="00E308E8" w:rsidRPr="00EF153E">
        <w:rPr>
          <w:rFonts w:ascii="Times New Roman" w:hAnsi="Times New Roman" w:cs="Times New Roman"/>
          <w:sz w:val="24"/>
          <w:szCs w:val="24"/>
        </w:rPr>
        <w:t>e State during 202</w:t>
      </w:r>
      <w:r w:rsidR="00193554">
        <w:rPr>
          <w:rFonts w:ascii="Times New Roman" w:hAnsi="Times New Roman" w:cs="Times New Roman"/>
          <w:sz w:val="24"/>
          <w:szCs w:val="24"/>
        </w:rPr>
        <w:t>2</w:t>
      </w:r>
      <w:r w:rsidR="00E308E8" w:rsidRPr="00EF153E">
        <w:rPr>
          <w:rFonts w:ascii="Times New Roman" w:hAnsi="Times New Roman" w:cs="Times New Roman"/>
          <w:sz w:val="24"/>
          <w:szCs w:val="24"/>
        </w:rPr>
        <w:t>-2</w:t>
      </w:r>
      <w:r w:rsidR="00193554">
        <w:rPr>
          <w:rFonts w:ascii="Times New Roman" w:hAnsi="Times New Roman" w:cs="Times New Roman"/>
          <w:sz w:val="24"/>
          <w:szCs w:val="24"/>
        </w:rPr>
        <w:t>3</w:t>
      </w:r>
      <w:r w:rsidR="001D0304">
        <w:rPr>
          <w:rFonts w:ascii="Times New Roman" w:hAnsi="Times New Roman" w:cs="Times New Roman"/>
          <w:sz w:val="24"/>
          <w:szCs w:val="24"/>
        </w:rPr>
        <w:t>, which</w:t>
      </w:r>
      <w:r w:rsidR="00FD3647">
        <w:rPr>
          <w:rFonts w:ascii="Times New Roman" w:hAnsi="Times New Roman" w:cs="Times New Roman"/>
          <w:sz w:val="24"/>
          <w:szCs w:val="24"/>
        </w:rPr>
        <w:t xml:space="preserve"> include </w:t>
      </w:r>
      <w:r w:rsidR="000D3A59">
        <w:rPr>
          <w:rFonts w:ascii="Times New Roman" w:hAnsi="Times New Roman" w:cs="Times New Roman"/>
          <w:sz w:val="24"/>
          <w:szCs w:val="24"/>
        </w:rPr>
        <w:t>t</w:t>
      </w:r>
      <w:r w:rsidR="001D0304">
        <w:rPr>
          <w:rFonts w:ascii="Times New Roman" w:hAnsi="Times New Roman" w:cs="Times New Roman"/>
          <w:sz w:val="24"/>
          <w:szCs w:val="24"/>
        </w:rPr>
        <w:t>ransfer to intermediaries/beneficiaries.</w:t>
      </w:r>
      <w:r w:rsidR="00E308E8" w:rsidRPr="00EF153E">
        <w:rPr>
          <w:rFonts w:ascii="Times New Roman" w:hAnsi="Times New Roman" w:cs="Times New Roman"/>
          <w:sz w:val="24"/>
          <w:szCs w:val="24"/>
        </w:rPr>
        <w:t xml:space="preserve"> </w:t>
      </w:r>
    </w:p>
    <w:p w14:paraId="30D95FF9" w14:textId="58754940" w:rsidR="00CC0F1A" w:rsidRPr="00EF153E" w:rsidRDefault="00CC0F1A" w:rsidP="00C01957">
      <w:pPr>
        <w:spacing w:before="240" w:after="240" w:line="288" w:lineRule="auto"/>
        <w:ind w:left="360"/>
        <w:jc w:val="both"/>
        <w:rPr>
          <w:rFonts w:ascii="Times New Roman" w:hAnsi="Times New Roman" w:cs="Times New Roman"/>
          <w:b/>
          <w:bCs/>
          <w:sz w:val="24"/>
          <w:szCs w:val="24"/>
        </w:rPr>
      </w:pPr>
      <w:r w:rsidRPr="00EF153E">
        <w:rPr>
          <w:rFonts w:ascii="Times New Roman" w:hAnsi="Times New Roman" w:cs="Times New Roman"/>
          <w:sz w:val="24"/>
          <w:szCs w:val="24"/>
        </w:rPr>
        <w:lastRenderedPageBreak/>
        <w:t>The direct transfer of fund to the implementing</w:t>
      </w:r>
      <w:r w:rsidR="00FC2FBA">
        <w:rPr>
          <w:rFonts w:ascii="Times New Roman" w:hAnsi="Times New Roman" w:cs="Times New Roman"/>
          <w:sz w:val="24"/>
          <w:szCs w:val="24"/>
        </w:rPr>
        <w:t xml:space="preserve"> agencies has </w:t>
      </w:r>
      <w:r w:rsidR="005A0999">
        <w:rPr>
          <w:rFonts w:ascii="Times New Roman" w:hAnsi="Times New Roman" w:cs="Times New Roman"/>
          <w:sz w:val="24"/>
          <w:szCs w:val="24"/>
        </w:rPr>
        <w:t>de</w:t>
      </w:r>
      <w:r w:rsidR="00FC2FBA">
        <w:rPr>
          <w:rFonts w:ascii="Times New Roman" w:hAnsi="Times New Roman" w:cs="Times New Roman"/>
          <w:sz w:val="24"/>
          <w:szCs w:val="24"/>
        </w:rPr>
        <w:t xml:space="preserve">creased by </w:t>
      </w:r>
      <w:r w:rsidR="005A0999">
        <w:rPr>
          <w:rFonts w:ascii="Times New Roman" w:hAnsi="Times New Roman" w:cs="Times New Roman"/>
          <w:sz w:val="24"/>
          <w:szCs w:val="24"/>
        </w:rPr>
        <w:t>26.91</w:t>
      </w:r>
      <w:r w:rsidR="00EE3BD0">
        <w:rPr>
          <w:rFonts w:ascii="Times New Roman" w:hAnsi="Times New Roman" w:cs="Times New Roman"/>
          <w:sz w:val="24"/>
          <w:szCs w:val="24"/>
        </w:rPr>
        <w:t> </w:t>
      </w:r>
      <w:r w:rsidRPr="00EF153E">
        <w:rPr>
          <w:rFonts w:ascii="Times New Roman" w:hAnsi="Times New Roman" w:cs="Times New Roman"/>
          <w:i/>
          <w:iCs/>
          <w:sz w:val="24"/>
          <w:szCs w:val="24"/>
        </w:rPr>
        <w:t>per</w:t>
      </w:r>
      <w:r w:rsidR="00EE3BD0">
        <w:rPr>
          <w:rFonts w:ascii="Times New Roman" w:hAnsi="Times New Roman" w:cs="Times New Roman"/>
          <w:i/>
          <w:iCs/>
          <w:sz w:val="24"/>
          <w:szCs w:val="24"/>
        </w:rPr>
        <w:t> </w:t>
      </w:r>
      <w:r w:rsidRPr="00EF153E">
        <w:rPr>
          <w:rFonts w:ascii="Times New Roman" w:hAnsi="Times New Roman" w:cs="Times New Roman"/>
          <w:i/>
          <w:iCs/>
          <w:sz w:val="24"/>
          <w:szCs w:val="24"/>
        </w:rPr>
        <w:t>cent</w:t>
      </w:r>
      <w:r w:rsidRPr="00EF153E">
        <w:rPr>
          <w:rFonts w:ascii="Times New Roman" w:hAnsi="Times New Roman" w:cs="Times New Roman"/>
          <w:sz w:val="24"/>
          <w:szCs w:val="24"/>
        </w:rPr>
        <w:t xml:space="preserve"> as compared to 202</w:t>
      </w:r>
      <w:r w:rsidR="00193554">
        <w:rPr>
          <w:rFonts w:ascii="Times New Roman" w:hAnsi="Times New Roman" w:cs="Times New Roman"/>
          <w:sz w:val="24"/>
          <w:szCs w:val="24"/>
        </w:rPr>
        <w:t>1</w:t>
      </w:r>
      <w:r w:rsidRPr="00EF153E">
        <w:rPr>
          <w:rFonts w:ascii="Times New Roman" w:hAnsi="Times New Roman" w:cs="Times New Roman"/>
          <w:sz w:val="24"/>
          <w:szCs w:val="24"/>
        </w:rPr>
        <w:t>-2</w:t>
      </w:r>
      <w:r w:rsidR="00193554">
        <w:rPr>
          <w:rFonts w:ascii="Times New Roman" w:hAnsi="Times New Roman" w:cs="Times New Roman"/>
          <w:sz w:val="24"/>
          <w:szCs w:val="24"/>
        </w:rPr>
        <w:t>2</w:t>
      </w:r>
      <w:r w:rsidRPr="00EF153E">
        <w:rPr>
          <w:rFonts w:ascii="Times New Roman" w:hAnsi="Times New Roman" w:cs="Times New Roman"/>
          <w:sz w:val="24"/>
          <w:szCs w:val="24"/>
        </w:rPr>
        <w:t xml:space="preserve"> (from </w:t>
      </w:r>
      <w:r w:rsidR="00EF153E">
        <w:rPr>
          <w:rFonts w:ascii="Times New Roman" w:hAnsi="Times New Roman" w:cs="Times New Roman"/>
          <w:sz w:val="24"/>
          <w:szCs w:val="24"/>
        </w:rPr>
        <w:t>₹</w:t>
      </w:r>
      <w:r w:rsidR="005A0999">
        <w:rPr>
          <w:rFonts w:ascii="Times New Roman" w:hAnsi="Times New Roman" w:cs="Times New Roman"/>
          <w:sz w:val="24"/>
          <w:szCs w:val="24"/>
        </w:rPr>
        <w:t>1</w:t>
      </w:r>
      <w:r w:rsidR="006C4A49">
        <w:rPr>
          <w:rFonts w:ascii="Times New Roman" w:hAnsi="Times New Roman" w:cs="Times New Roman"/>
          <w:sz w:val="24"/>
          <w:szCs w:val="24"/>
        </w:rPr>
        <w:t>,</w:t>
      </w:r>
      <w:r w:rsidR="005A0999">
        <w:rPr>
          <w:rFonts w:ascii="Times New Roman" w:hAnsi="Times New Roman" w:cs="Times New Roman"/>
          <w:sz w:val="24"/>
          <w:szCs w:val="24"/>
        </w:rPr>
        <w:t>025.36</w:t>
      </w:r>
      <w:r w:rsidRPr="00EF153E">
        <w:rPr>
          <w:rFonts w:ascii="Times New Roman" w:hAnsi="Times New Roman" w:cs="Times New Roman"/>
          <w:sz w:val="24"/>
          <w:szCs w:val="24"/>
        </w:rPr>
        <w:t xml:space="preserve"> crore </w:t>
      </w:r>
      <w:r w:rsidR="00143B3F">
        <w:rPr>
          <w:rFonts w:ascii="Times New Roman" w:hAnsi="Times New Roman" w:cs="Times New Roman"/>
          <w:sz w:val="24"/>
          <w:szCs w:val="24"/>
        </w:rPr>
        <w:t>to</w:t>
      </w:r>
      <w:r w:rsidRPr="00EF153E">
        <w:rPr>
          <w:rFonts w:ascii="Times New Roman" w:hAnsi="Times New Roman" w:cs="Times New Roman"/>
          <w:sz w:val="24"/>
          <w:szCs w:val="24"/>
        </w:rPr>
        <w:t xml:space="preserve"> </w:t>
      </w:r>
      <w:r w:rsidR="00143B3F">
        <w:rPr>
          <w:rFonts w:ascii="Times New Roman" w:hAnsi="Times New Roman" w:cs="Times New Roman"/>
          <w:sz w:val="24"/>
          <w:szCs w:val="24"/>
        </w:rPr>
        <w:t>₹</w:t>
      </w:r>
      <w:r w:rsidR="005A0999">
        <w:rPr>
          <w:rFonts w:ascii="Times New Roman" w:hAnsi="Times New Roman" w:cs="Times New Roman"/>
          <w:sz w:val="24"/>
          <w:szCs w:val="24"/>
        </w:rPr>
        <w:t>749.45</w:t>
      </w:r>
      <w:r w:rsidRPr="00EF153E">
        <w:rPr>
          <w:rFonts w:ascii="Times New Roman" w:hAnsi="Times New Roman" w:cs="Times New Roman"/>
          <w:sz w:val="24"/>
          <w:szCs w:val="24"/>
        </w:rPr>
        <w:t xml:space="preserve"> crore) in 202</w:t>
      </w:r>
      <w:r w:rsidR="00FA3B51">
        <w:rPr>
          <w:rFonts w:ascii="Times New Roman" w:hAnsi="Times New Roman" w:cs="Times New Roman"/>
          <w:sz w:val="24"/>
          <w:szCs w:val="24"/>
        </w:rPr>
        <w:t>2</w:t>
      </w:r>
      <w:r w:rsidRPr="00EF153E">
        <w:rPr>
          <w:rFonts w:ascii="Times New Roman" w:hAnsi="Times New Roman" w:cs="Times New Roman"/>
          <w:sz w:val="24"/>
          <w:szCs w:val="24"/>
        </w:rPr>
        <w:t>-2</w:t>
      </w:r>
      <w:r w:rsidR="00FA3B51">
        <w:rPr>
          <w:rFonts w:ascii="Times New Roman" w:hAnsi="Times New Roman" w:cs="Times New Roman"/>
          <w:sz w:val="24"/>
          <w:szCs w:val="24"/>
        </w:rPr>
        <w:t>3</w:t>
      </w:r>
      <w:r w:rsidRPr="00EF153E">
        <w:rPr>
          <w:rFonts w:ascii="Times New Roman" w:hAnsi="Times New Roman" w:cs="Times New Roman"/>
          <w:sz w:val="24"/>
          <w:szCs w:val="24"/>
        </w:rPr>
        <w:t xml:space="preserve">. Details are in </w:t>
      </w:r>
      <w:r w:rsidRPr="00EF153E">
        <w:rPr>
          <w:rFonts w:ascii="Times New Roman" w:hAnsi="Times New Roman" w:cs="Times New Roman"/>
          <w:i/>
          <w:iCs/>
          <w:sz w:val="24"/>
          <w:szCs w:val="24"/>
        </w:rPr>
        <w:t>Appendix-VI of the Finance Accounts</w:t>
      </w:r>
      <w:r w:rsidRPr="00D177C1">
        <w:rPr>
          <w:rFonts w:ascii="Times New Roman" w:hAnsi="Times New Roman" w:cs="Times New Roman"/>
          <w:sz w:val="24"/>
          <w:szCs w:val="24"/>
        </w:rPr>
        <w:t>.</w:t>
      </w:r>
      <w:r w:rsidRPr="00EF153E">
        <w:rPr>
          <w:rFonts w:ascii="Times New Roman" w:hAnsi="Times New Roman" w:cs="Times New Roman"/>
          <w:b/>
          <w:bCs/>
          <w:sz w:val="24"/>
          <w:szCs w:val="24"/>
        </w:rPr>
        <w:t xml:space="preserve"> </w:t>
      </w:r>
    </w:p>
    <w:p w14:paraId="1E43AF79" w14:textId="77777777" w:rsidR="009B2BFC" w:rsidRPr="009B2BFC" w:rsidRDefault="009B2BFC" w:rsidP="00CF2F14">
      <w:pPr>
        <w:spacing w:before="120" w:after="120" w:line="288" w:lineRule="auto"/>
        <w:ind w:left="360"/>
        <w:jc w:val="both"/>
        <w:rPr>
          <w:rFonts w:ascii="Times New Roman" w:hAnsi="Times New Roman" w:cs="Times New Roman"/>
          <w:i/>
          <w:sz w:val="24"/>
          <w:szCs w:val="24"/>
        </w:rPr>
      </w:pPr>
      <w:r w:rsidRPr="009B2BFC">
        <w:rPr>
          <w:rFonts w:ascii="Times New Roman" w:hAnsi="Times New Roman" w:cs="Times New Roman"/>
          <w:i/>
          <w:sz w:val="24"/>
          <w:szCs w:val="24"/>
        </w:rPr>
        <w:t>This has reference to</w:t>
      </w:r>
      <w:r>
        <w:rPr>
          <w:rFonts w:ascii="Times New Roman" w:hAnsi="Times New Roman" w:cs="Times New Roman"/>
          <w:i/>
          <w:sz w:val="24"/>
          <w:szCs w:val="24"/>
        </w:rPr>
        <w:t xml:space="preserve"> Statements 15 and 16 of the Finance Accounts.</w:t>
      </w:r>
    </w:p>
    <w:p w14:paraId="25AF6A88" w14:textId="77777777" w:rsidR="00691CA3" w:rsidRPr="00EF153E" w:rsidRDefault="00EA7270" w:rsidP="00CF2F14">
      <w:pPr>
        <w:pStyle w:val="ListParagraph"/>
        <w:widowControl w:val="0"/>
        <w:numPr>
          <w:ilvl w:val="0"/>
          <w:numId w:val="20"/>
        </w:numPr>
        <w:autoSpaceDE w:val="0"/>
        <w:autoSpaceDN w:val="0"/>
        <w:adjustRightInd w:val="0"/>
        <w:spacing w:before="240" w:after="240" w:line="288" w:lineRule="auto"/>
        <w:contextualSpacing w:val="0"/>
        <w:jc w:val="both"/>
        <w:rPr>
          <w:rFonts w:ascii="Times New Roman" w:hAnsi="Times New Roman" w:cs="Times New Roman"/>
          <w:sz w:val="24"/>
          <w:szCs w:val="24"/>
        </w:rPr>
      </w:pPr>
      <w:r w:rsidRPr="00EF153E">
        <w:rPr>
          <w:rFonts w:ascii="Times New Roman" w:hAnsi="Times New Roman" w:cs="Times New Roman"/>
          <w:b/>
          <w:bCs/>
          <w:sz w:val="24"/>
          <w:szCs w:val="24"/>
        </w:rPr>
        <w:t>Off</w:t>
      </w:r>
      <w:r w:rsidR="00465670" w:rsidRPr="00EF153E">
        <w:rPr>
          <w:rFonts w:ascii="Times New Roman" w:hAnsi="Times New Roman" w:cs="Times New Roman"/>
          <w:b/>
          <w:bCs/>
          <w:sz w:val="24"/>
          <w:szCs w:val="24"/>
        </w:rPr>
        <w:t>-</w:t>
      </w:r>
      <w:r w:rsidRPr="00EF153E">
        <w:rPr>
          <w:rFonts w:ascii="Times New Roman" w:hAnsi="Times New Roman" w:cs="Times New Roman"/>
          <w:b/>
          <w:bCs/>
          <w:sz w:val="24"/>
          <w:szCs w:val="24"/>
        </w:rPr>
        <w:t>Budget Liabilities of State Government:</w:t>
      </w:r>
    </w:p>
    <w:p w14:paraId="71EBC4A8" w14:textId="7A7976AA" w:rsidR="00893848" w:rsidRDefault="00FF51BB" w:rsidP="00C01957">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Pr>
          <w:rFonts w:ascii="Times New Roman" w:hAnsi="Times New Roman" w:cs="Times New Roman"/>
          <w:sz w:val="24"/>
          <w:szCs w:val="24"/>
        </w:rPr>
        <w:t xml:space="preserve">Off-Budget Borrowing is a liability of the Government in as much as the principal and the interest thereon invariably are serviced through the Government Budget, either as assistance or grant to State entity. </w:t>
      </w:r>
      <w:r w:rsidR="00D177C1">
        <w:rPr>
          <w:rFonts w:ascii="Times New Roman" w:hAnsi="Times New Roman" w:cs="Times New Roman"/>
          <w:sz w:val="24"/>
          <w:szCs w:val="24"/>
        </w:rPr>
        <w:t>During</w:t>
      </w:r>
      <w:r>
        <w:rPr>
          <w:rFonts w:ascii="Times New Roman" w:hAnsi="Times New Roman" w:cs="Times New Roman"/>
          <w:sz w:val="24"/>
          <w:szCs w:val="24"/>
        </w:rPr>
        <w:t xml:space="preserve"> the year 2022-23</w:t>
      </w:r>
      <w:r w:rsidR="00A77E91">
        <w:rPr>
          <w:rFonts w:ascii="Times New Roman" w:hAnsi="Times New Roman" w:cs="Times New Roman"/>
          <w:sz w:val="24"/>
          <w:szCs w:val="24"/>
        </w:rPr>
        <w:t>,</w:t>
      </w:r>
      <w:r w:rsidR="0050293D">
        <w:rPr>
          <w:rFonts w:ascii="Times New Roman" w:hAnsi="Times New Roman" w:cs="Times New Roman"/>
          <w:sz w:val="24"/>
          <w:szCs w:val="24"/>
        </w:rPr>
        <w:t xml:space="preserve"> </w:t>
      </w:r>
      <w:r w:rsidR="00F6197A">
        <w:rPr>
          <w:rFonts w:ascii="Times New Roman" w:hAnsi="Times New Roman" w:cs="Times New Roman"/>
          <w:sz w:val="24"/>
          <w:szCs w:val="24"/>
        </w:rPr>
        <w:t xml:space="preserve">the State Government </w:t>
      </w:r>
      <w:r w:rsidR="008154D0">
        <w:rPr>
          <w:rFonts w:ascii="Times New Roman" w:hAnsi="Times New Roman" w:cs="Times New Roman"/>
          <w:sz w:val="24"/>
          <w:szCs w:val="24"/>
        </w:rPr>
        <w:t>of Manipur provided ₹</w:t>
      </w:r>
      <w:r w:rsidR="00B51468">
        <w:rPr>
          <w:rFonts w:ascii="Times New Roman" w:hAnsi="Times New Roman" w:cs="Times New Roman"/>
          <w:sz w:val="24"/>
          <w:szCs w:val="24"/>
        </w:rPr>
        <w:t>28</w:t>
      </w:r>
      <w:r w:rsidR="008154D0">
        <w:rPr>
          <w:rFonts w:ascii="Times New Roman" w:hAnsi="Times New Roman" w:cs="Times New Roman"/>
          <w:sz w:val="24"/>
          <w:szCs w:val="24"/>
        </w:rPr>
        <w:t>.</w:t>
      </w:r>
      <w:r w:rsidR="00B51468">
        <w:rPr>
          <w:rFonts w:ascii="Times New Roman" w:hAnsi="Times New Roman" w:cs="Times New Roman"/>
          <w:sz w:val="24"/>
          <w:szCs w:val="24"/>
        </w:rPr>
        <w:t>98</w:t>
      </w:r>
      <w:r w:rsidR="008154D0">
        <w:rPr>
          <w:rFonts w:ascii="Times New Roman" w:hAnsi="Times New Roman" w:cs="Times New Roman"/>
          <w:sz w:val="24"/>
          <w:szCs w:val="24"/>
        </w:rPr>
        <w:t xml:space="preserve"> crore as Assistance/Grants on account of off budget borrowings. In addition to the off budget borrowing, implicit subsidies to the power utility of ₹120.00 crore on account of non-recovery of cost was also provided in the year. </w:t>
      </w:r>
    </w:p>
    <w:p w14:paraId="3C62CB22" w14:textId="576A75C3" w:rsidR="00625949" w:rsidRPr="003600CD" w:rsidRDefault="00F27BE8" w:rsidP="003600CD">
      <w:pPr>
        <w:pStyle w:val="ListParagraph"/>
        <w:widowControl w:val="0"/>
        <w:numPr>
          <w:ilvl w:val="0"/>
          <w:numId w:val="20"/>
        </w:numPr>
        <w:autoSpaceDE w:val="0"/>
        <w:autoSpaceDN w:val="0"/>
        <w:adjustRightInd w:val="0"/>
        <w:spacing w:before="120" w:after="240" w:line="276" w:lineRule="auto"/>
        <w:ind w:left="1077"/>
        <w:contextualSpacing w:val="0"/>
        <w:jc w:val="both"/>
        <w:rPr>
          <w:rFonts w:ascii="Times New Roman" w:hAnsi="Times New Roman" w:cs="Times New Roman"/>
          <w:b/>
          <w:sz w:val="24"/>
          <w:szCs w:val="24"/>
        </w:rPr>
      </w:pPr>
      <w:r>
        <w:rPr>
          <w:rFonts w:ascii="Times New Roman" w:hAnsi="Times New Roman" w:cs="Times New Roman"/>
          <w:b/>
          <w:sz w:val="24"/>
          <w:szCs w:val="24"/>
        </w:rPr>
        <w:t xml:space="preserve">Transfer of funds to </w:t>
      </w:r>
      <w:r w:rsidR="003600CD" w:rsidRPr="003600CD">
        <w:rPr>
          <w:rFonts w:ascii="Times New Roman" w:hAnsi="Times New Roman" w:cs="Times New Roman"/>
          <w:b/>
          <w:sz w:val="24"/>
          <w:szCs w:val="24"/>
        </w:rPr>
        <w:t>Single Nodal Agency (SNA):</w:t>
      </w:r>
    </w:p>
    <w:p w14:paraId="5CCEA0C7" w14:textId="77777777" w:rsidR="00625949" w:rsidRDefault="00625949" w:rsidP="00B44901">
      <w:pPr>
        <w:pStyle w:val="ListParagraph"/>
        <w:widowControl w:val="0"/>
        <w:autoSpaceDE w:val="0"/>
        <w:autoSpaceDN w:val="0"/>
        <w:adjustRightInd w:val="0"/>
        <w:spacing w:before="240" w:after="240" w:line="276" w:lineRule="auto"/>
        <w:ind w:left="360"/>
        <w:contextualSpacing w:val="0"/>
        <w:jc w:val="both"/>
        <w:rPr>
          <w:rFonts w:ascii="Times New Roman" w:eastAsia="Times New Roman" w:hAnsi="Times New Roman" w:cs="Times New Roman"/>
          <w:color w:val="000000" w:themeColor="text1"/>
          <w:sz w:val="24"/>
          <w:szCs w:val="24"/>
        </w:rPr>
      </w:pPr>
      <w:r w:rsidRPr="00625949">
        <w:rPr>
          <w:rFonts w:ascii="Times New Roman" w:eastAsia="Times New Roman" w:hAnsi="Times New Roman" w:cs="Times New Roman"/>
          <w:color w:val="000000" w:themeColor="text1"/>
          <w:sz w:val="24"/>
          <w:szCs w:val="24"/>
        </w:rPr>
        <w:t>Ministry of Finance, Government of India vide letter No.1(13)PFMS/FCD/2020 dated 23-03-2021 had notified procedures for release of funds under Centrally Sponsored Scheme (CSS) and monitoring utilization of the funds released through Single Nodal Agency (SNA). For each CSS, SNA is set up with own Bank Account in scheduled Commercial Bank authorized to conduct Government business by the State Government. As per the procedure, the State Government is to transfer the Central share received in its accounts to the concerned SNA’s account alongwith corresponding State share.</w:t>
      </w:r>
    </w:p>
    <w:p w14:paraId="09693C2D" w14:textId="01C1E5A1" w:rsidR="00C01957" w:rsidRPr="00625949" w:rsidRDefault="00625949" w:rsidP="00B44901">
      <w:pPr>
        <w:pStyle w:val="ListParagraph"/>
        <w:widowControl w:val="0"/>
        <w:autoSpaceDE w:val="0"/>
        <w:autoSpaceDN w:val="0"/>
        <w:adjustRightInd w:val="0"/>
        <w:spacing w:before="120" w:after="240" w:line="276" w:lineRule="auto"/>
        <w:ind w:left="360"/>
        <w:contextualSpacing w:val="0"/>
        <w:jc w:val="both"/>
        <w:rPr>
          <w:rFonts w:ascii="Times New Roman" w:eastAsia="Times New Roman" w:hAnsi="Times New Roman" w:cs="Times New Roman"/>
          <w:color w:val="000000" w:themeColor="text1"/>
          <w:sz w:val="24"/>
          <w:szCs w:val="24"/>
        </w:rPr>
      </w:pPr>
      <w:r w:rsidRPr="00625949">
        <w:rPr>
          <w:rFonts w:ascii="Times New Roman" w:hAnsi="Times New Roman" w:cs="Times New Roman"/>
          <w:color w:val="000000" w:themeColor="text1"/>
          <w:sz w:val="24"/>
          <w:szCs w:val="24"/>
        </w:rPr>
        <w:t>The State Government received ₹3,262.51 crore being Central share during the year 2022-23 in its Treasury Accounts. As on 31 March</w:t>
      </w:r>
      <w:r w:rsidRPr="00625949">
        <w:rPr>
          <w:color w:val="000000" w:themeColor="text1"/>
        </w:rPr>
        <w:t xml:space="preserve"> </w:t>
      </w:r>
      <w:r w:rsidRPr="00BA1612">
        <w:rPr>
          <w:rFonts w:ascii="Times New Roman" w:hAnsi="Times New Roman" w:cs="Times New Roman"/>
          <w:color w:val="000000" w:themeColor="text1"/>
          <w:sz w:val="24"/>
          <w:szCs w:val="24"/>
        </w:rPr>
        <w:t>2023,</w:t>
      </w:r>
      <w:r w:rsidRPr="00625949">
        <w:rPr>
          <w:rFonts w:ascii="Times New Roman" w:hAnsi="Times New Roman" w:cs="Times New Roman"/>
          <w:color w:val="000000" w:themeColor="text1"/>
          <w:sz w:val="24"/>
          <w:szCs w:val="24"/>
        </w:rPr>
        <w:t xml:space="preserve"> the Government transferred Central share of ₹3,502.73 crore received in Treasury Accounts and State share of ₹399.76 crore to the SNAs. The total transfer was through AC Bills.  Detailed vouchers and supporting documents of actual expenditure were not received by AG office from the SNAs. As i</w:t>
      </w:r>
      <w:r w:rsidR="00C50FE9">
        <w:rPr>
          <w:rFonts w:ascii="Times New Roman" w:hAnsi="Times New Roman" w:cs="Times New Roman"/>
          <w:color w:val="000000" w:themeColor="text1"/>
          <w:sz w:val="24"/>
          <w:szCs w:val="24"/>
        </w:rPr>
        <w:t>nformed by the State Government</w:t>
      </w:r>
      <w:r w:rsidRPr="00625949">
        <w:rPr>
          <w:rFonts w:ascii="Times New Roman" w:hAnsi="Times New Roman" w:cs="Times New Roman"/>
          <w:color w:val="000000" w:themeColor="text1"/>
          <w:sz w:val="24"/>
          <w:szCs w:val="24"/>
        </w:rPr>
        <w:t>, ₹1,248.85 crore are lying unspent in the bank accounts of SNAs as on 31 March, 2023.</w:t>
      </w:r>
    </w:p>
    <w:p w14:paraId="7F781D46" w14:textId="77777777" w:rsidR="00691CA3" w:rsidRPr="00EF153E" w:rsidRDefault="00EA7270" w:rsidP="00A74FDD">
      <w:pPr>
        <w:pStyle w:val="ListParagraph"/>
        <w:widowControl w:val="0"/>
        <w:numPr>
          <w:ilvl w:val="0"/>
          <w:numId w:val="15"/>
        </w:numPr>
        <w:autoSpaceDE w:val="0"/>
        <w:autoSpaceDN w:val="0"/>
        <w:adjustRightInd w:val="0"/>
        <w:spacing w:before="240" w:after="240" w:line="240" w:lineRule="auto"/>
        <w:ind w:left="360"/>
        <w:contextualSpacing w:val="0"/>
        <w:jc w:val="both"/>
        <w:rPr>
          <w:rFonts w:ascii="Times New Roman" w:hAnsi="Times New Roman" w:cs="Times New Roman"/>
          <w:sz w:val="24"/>
          <w:szCs w:val="24"/>
        </w:rPr>
      </w:pPr>
      <w:r w:rsidRPr="00EF153E">
        <w:rPr>
          <w:rFonts w:ascii="Times New Roman" w:hAnsi="Times New Roman" w:cs="Times New Roman"/>
          <w:b/>
          <w:bCs/>
          <w:sz w:val="24"/>
          <w:szCs w:val="24"/>
        </w:rPr>
        <w:t>Contingency</w:t>
      </w:r>
      <w:r w:rsidRPr="00EF153E">
        <w:rPr>
          <w:rFonts w:ascii="Times New Roman" w:hAnsi="Times New Roman" w:cs="Times New Roman"/>
          <w:b/>
          <w:sz w:val="24"/>
          <w:szCs w:val="24"/>
        </w:rPr>
        <w:t xml:space="preserve"> Fund:</w:t>
      </w:r>
    </w:p>
    <w:p w14:paraId="197ABCB3" w14:textId="2C75DEC2" w:rsidR="00DA3659" w:rsidRDefault="00E532EE" w:rsidP="00C01957">
      <w:pPr>
        <w:widowControl w:val="0"/>
        <w:autoSpaceDE w:val="0"/>
        <w:autoSpaceDN w:val="0"/>
        <w:adjustRightInd w:val="0"/>
        <w:spacing w:before="120" w:after="120" w:line="276" w:lineRule="auto"/>
        <w:ind w:left="360"/>
        <w:jc w:val="both"/>
        <w:rPr>
          <w:rFonts w:ascii="Times New Roman" w:hAnsi="Times New Roman" w:cs="Times New Roman"/>
          <w:bCs/>
          <w:iCs/>
          <w:sz w:val="24"/>
          <w:szCs w:val="24"/>
          <w:lang w:val="en-IN"/>
        </w:rPr>
      </w:pPr>
      <w:r w:rsidRPr="00EF153E">
        <w:rPr>
          <w:rFonts w:ascii="Times New Roman" w:hAnsi="Times New Roman" w:cs="Times New Roman"/>
          <w:sz w:val="24"/>
          <w:szCs w:val="24"/>
          <w:shd w:val="clear" w:color="auto" w:fill="FFFFFF"/>
        </w:rPr>
        <w:t xml:space="preserve">There is no </w:t>
      </w:r>
      <w:r w:rsidR="00166173" w:rsidRPr="00EF153E">
        <w:rPr>
          <w:rFonts w:ascii="Times New Roman" w:hAnsi="Times New Roman" w:cs="Times New Roman"/>
          <w:sz w:val="24"/>
          <w:szCs w:val="24"/>
          <w:shd w:val="clear" w:color="auto" w:fill="FFFFFF"/>
        </w:rPr>
        <w:t>Contingen</w:t>
      </w:r>
      <w:r w:rsidR="00166173">
        <w:rPr>
          <w:rFonts w:ascii="Times New Roman" w:hAnsi="Times New Roman" w:cs="Times New Roman"/>
          <w:sz w:val="24"/>
          <w:szCs w:val="24"/>
          <w:shd w:val="clear" w:color="auto" w:fill="FFFFFF"/>
        </w:rPr>
        <w:t>cy</w:t>
      </w:r>
      <w:r w:rsidRPr="00EF153E">
        <w:rPr>
          <w:rFonts w:ascii="Times New Roman" w:hAnsi="Times New Roman" w:cs="Times New Roman"/>
          <w:sz w:val="24"/>
          <w:szCs w:val="24"/>
          <w:shd w:val="clear" w:color="auto" w:fill="FFFFFF"/>
        </w:rPr>
        <w:t xml:space="preserve"> Fund of the Government of Manipur</w:t>
      </w:r>
      <w:r w:rsidR="002721FE" w:rsidRPr="00EF153E">
        <w:rPr>
          <w:rFonts w:ascii="Times New Roman" w:hAnsi="Times New Roman" w:cs="Times New Roman"/>
          <w:bCs/>
          <w:iCs/>
          <w:sz w:val="24"/>
          <w:szCs w:val="24"/>
          <w:lang w:val="en-IN"/>
        </w:rPr>
        <w:t>.</w:t>
      </w:r>
    </w:p>
    <w:p w14:paraId="54AE49B4" w14:textId="77777777" w:rsidR="009F19D7" w:rsidRPr="00EF153E" w:rsidRDefault="00EA7270" w:rsidP="00E41168">
      <w:pPr>
        <w:pStyle w:val="ListParagraph"/>
        <w:widowControl w:val="0"/>
        <w:numPr>
          <w:ilvl w:val="0"/>
          <w:numId w:val="15"/>
        </w:numPr>
        <w:autoSpaceDE w:val="0"/>
        <w:autoSpaceDN w:val="0"/>
        <w:adjustRightInd w:val="0"/>
        <w:spacing w:before="240" w:after="240" w:line="240" w:lineRule="auto"/>
        <w:ind w:left="360"/>
        <w:contextualSpacing w:val="0"/>
        <w:jc w:val="both"/>
        <w:rPr>
          <w:rFonts w:ascii="Times New Roman" w:hAnsi="Times New Roman" w:cs="Times New Roman"/>
          <w:b/>
          <w:sz w:val="24"/>
          <w:szCs w:val="24"/>
        </w:rPr>
      </w:pPr>
      <w:r w:rsidRPr="00EF153E">
        <w:rPr>
          <w:rFonts w:ascii="Times New Roman" w:hAnsi="Times New Roman" w:cs="Times New Roman"/>
          <w:b/>
          <w:sz w:val="24"/>
          <w:szCs w:val="24"/>
        </w:rPr>
        <w:t>Public Account:</w:t>
      </w:r>
    </w:p>
    <w:p w14:paraId="3D4E4E90" w14:textId="77777777" w:rsidR="00691CA3" w:rsidRPr="00EF153E" w:rsidRDefault="00EA7270" w:rsidP="00C46971">
      <w:pPr>
        <w:pStyle w:val="ListParagraph"/>
        <w:widowControl w:val="0"/>
        <w:numPr>
          <w:ilvl w:val="0"/>
          <w:numId w:val="21"/>
        </w:numPr>
        <w:autoSpaceDE w:val="0"/>
        <w:autoSpaceDN w:val="0"/>
        <w:adjustRightInd w:val="0"/>
        <w:spacing w:before="240" w:after="240" w:line="288" w:lineRule="auto"/>
        <w:contextualSpacing w:val="0"/>
        <w:jc w:val="both"/>
        <w:rPr>
          <w:rFonts w:ascii="Times New Roman" w:hAnsi="Times New Roman" w:cs="Times New Roman"/>
          <w:sz w:val="24"/>
          <w:szCs w:val="24"/>
        </w:rPr>
      </w:pPr>
      <w:r w:rsidRPr="00EF153E">
        <w:rPr>
          <w:rFonts w:ascii="Times New Roman" w:hAnsi="Times New Roman" w:cs="Times New Roman"/>
          <w:b/>
          <w:bCs/>
          <w:sz w:val="24"/>
          <w:szCs w:val="24"/>
        </w:rPr>
        <w:t>National Pension System</w:t>
      </w:r>
      <w:r w:rsidR="004F1077" w:rsidRPr="00EF153E">
        <w:rPr>
          <w:rFonts w:ascii="Times New Roman" w:hAnsi="Times New Roman" w:cs="Times New Roman"/>
          <w:b/>
          <w:bCs/>
          <w:sz w:val="24"/>
          <w:szCs w:val="24"/>
        </w:rPr>
        <w:t xml:space="preserve"> (NPS)</w:t>
      </w:r>
      <w:r w:rsidRPr="00EF153E">
        <w:rPr>
          <w:rFonts w:ascii="Times New Roman" w:hAnsi="Times New Roman" w:cs="Times New Roman"/>
          <w:b/>
          <w:bCs/>
          <w:sz w:val="24"/>
          <w:szCs w:val="24"/>
        </w:rPr>
        <w:t>:</w:t>
      </w:r>
    </w:p>
    <w:p w14:paraId="0028D1CB" w14:textId="5A34B51E" w:rsidR="008A13AC" w:rsidRDefault="004526BC" w:rsidP="00FB4BC7">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During</w:t>
      </w:r>
      <w:r w:rsidR="00EA7270" w:rsidRPr="00EF153E">
        <w:rPr>
          <w:rFonts w:ascii="Times New Roman" w:hAnsi="Times New Roman" w:cs="Times New Roman"/>
          <w:sz w:val="24"/>
          <w:szCs w:val="24"/>
        </w:rPr>
        <w:t xml:space="preserve"> the year</w:t>
      </w:r>
      <w:r w:rsidR="00E532EE" w:rsidRPr="00EF153E">
        <w:rPr>
          <w:rFonts w:ascii="Times New Roman" w:hAnsi="Times New Roman" w:cs="Times New Roman"/>
          <w:sz w:val="24"/>
          <w:szCs w:val="24"/>
        </w:rPr>
        <w:t xml:space="preserve"> 202</w:t>
      </w:r>
      <w:r w:rsidR="007C00A0">
        <w:rPr>
          <w:rFonts w:ascii="Times New Roman" w:hAnsi="Times New Roman" w:cs="Times New Roman"/>
          <w:sz w:val="24"/>
          <w:szCs w:val="24"/>
        </w:rPr>
        <w:t>2</w:t>
      </w:r>
      <w:r w:rsidR="00E532EE" w:rsidRPr="00EF153E">
        <w:rPr>
          <w:rFonts w:ascii="Times New Roman" w:hAnsi="Times New Roman" w:cs="Times New Roman"/>
          <w:sz w:val="24"/>
          <w:szCs w:val="24"/>
        </w:rPr>
        <w:t>-2</w:t>
      </w:r>
      <w:r w:rsidR="007C00A0">
        <w:rPr>
          <w:rFonts w:ascii="Times New Roman" w:hAnsi="Times New Roman" w:cs="Times New Roman"/>
          <w:sz w:val="24"/>
          <w:szCs w:val="24"/>
        </w:rPr>
        <w:t>3</w:t>
      </w:r>
      <w:r w:rsidR="00EA7270" w:rsidRPr="00EF153E">
        <w:rPr>
          <w:rFonts w:ascii="Times New Roman" w:hAnsi="Times New Roman" w:cs="Times New Roman"/>
          <w:sz w:val="24"/>
          <w:szCs w:val="24"/>
        </w:rPr>
        <w:t xml:space="preserve">, total contribution to </w:t>
      </w:r>
      <w:r w:rsidR="004F1077" w:rsidRPr="00EF153E">
        <w:rPr>
          <w:rFonts w:ascii="Times New Roman" w:hAnsi="Times New Roman" w:cs="Times New Roman"/>
          <w:sz w:val="24"/>
          <w:szCs w:val="24"/>
        </w:rPr>
        <w:t xml:space="preserve">the NPS which is a </w:t>
      </w:r>
      <w:r w:rsidR="00EA7270" w:rsidRPr="00EF153E">
        <w:rPr>
          <w:rFonts w:ascii="Times New Roman" w:hAnsi="Times New Roman" w:cs="Times New Roman"/>
          <w:sz w:val="24"/>
          <w:szCs w:val="24"/>
        </w:rPr>
        <w:t xml:space="preserve">Defined Contribution Pension Scheme was </w:t>
      </w:r>
      <w:r w:rsidR="00EF153E">
        <w:rPr>
          <w:rFonts w:ascii="Times New Roman" w:hAnsi="Times New Roman" w:cs="Times New Roman"/>
          <w:sz w:val="24"/>
          <w:szCs w:val="24"/>
        </w:rPr>
        <w:t>₹</w:t>
      </w:r>
      <w:r w:rsidR="007C00A0">
        <w:rPr>
          <w:rFonts w:ascii="Times New Roman" w:hAnsi="Times New Roman" w:cs="Times New Roman"/>
          <w:sz w:val="24"/>
          <w:szCs w:val="24"/>
        </w:rPr>
        <w:t>449.65</w:t>
      </w:r>
      <w:r w:rsidR="00143B3F">
        <w:rPr>
          <w:rFonts w:ascii="Times New Roman" w:hAnsi="Times New Roman" w:cs="Times New Roman"/>
          <w:sz w:val="24"/>
          <w:szCs w:val="24"/>
        </w:rPr>
        <w:t xml:space="preserve"> </w:t>
      </w:r>
      <w:r w:rsidR="00EA7270" w:rsidRPr="00EF153E">
        <w:rPr>
          <w:rFonts w:ascii="Times New Roman" w:hAnsi="Times New Roman" w:cs="Times New Roman"/>
          <w:sz w:val="24"/>
          <w:szCs w:val="24"/>
        </w:rPr>
        <w:t>crore (Employees</w:t>
      </w:r>
      <w:r w:rsidRPr="00EF153E">
        <w:rPr>
          <w:rFonts w:ascii="Times New Roman" w:hAnsi="Times New Roman" w:cs="Times New Roman"/>
          <w:sz w:val="24"/>
          <w:szCs w:val="24"/>
        </w:rPr>
        <w:t>’</w:t>
      </w:r>
      <w:r w:rsidR="00EA7270" w:rsidRPr="00EF153E">
        <w:rPr>
          <w:rFonts w:ascii="Times New Roman" w:hAnsi="Times New Roman" w:cs="Times New Roman"/>
          <w:sz w:val="24"/>
          <w:szCs w:val="24"/>
        </w:rPr>
        <w:t xml:space="preserve"> contribution </w:t>
      </w:r>
      <w:r w:rsidR="00EF153E">
        <w:rPr>
          <w:rFonts w:ascii="Times New Roman" w:hAnsi="Times New Roman" w:cs="Times New Roman"/>
          <w:sz w:val="24"/>
          <w:szCs w:val="24"/>
        </w:rPr>
        <w:t>₹</w:t>
      </w:r>
      <w:r w:rsidR="007C00A0">
        <w:rPr>
          <w:rFonts w:ascii="Times New Roman" w:hAnsi="Times New Roman" w:cs="Times New Roman"/>
          <w:sz w:val="24"/>
          <w:szCs w:val="24"/>
        </w:rPr>
        <w:t>2</w:t>
      </w:r>
      <w:r w:rsidR="00030590">
        <w:rPr>
          <w:rFonts w:ascii="Times New Roman" w:hAnsi="Times New Roman" w:cs="Times New Roman"/>
          <w:sz w:val="24"/>
          <w:szCs w:val="24"/>
        </w:rPr>
        <w:t>30.07</w:t>
      </w:r>
      <w:r w:rsidR="00143B3F">
        <w:rPr>
          <w:rFonts w:ascii="Times New Roman" w:hAnsi="Times New Roman" w:cs="Times New Roman"/>
          <w:sz w:val="24"/>
          <w:szCs w:val="24"/>
        </w:rPr>
        <w:t xml:space="preserve"> </w:t>
      </w:r>
      <w:r w:rsidR="00EA7270" w:rsidRPr="00EF153E">
        <w:rPr>
          <w:rFonts w:ascii="Times New Roman" w:hAnsi="Times New Roman" w:cs="Times New Roman"/>
          <w:sz w:val="24"/>
          <w:szCs w:val="24"/>
        </w:rPr>
        <w:t>crore and Government</w:t>
      </w:r>
      <w:r w:rsidR="00A941A4" w:rsidRPr="00EF153E">
        <w:rPr>
          <w:rFonts w:ascii="Times New Roman" w:hAnsi="Times New Roman" w:cs="Times New Roman"/>
          <w:sz w:val="24"/>
          <w:szCs w:val="24"/>
        </w:rPr>
        <w:t>’s</w:t>
      </w:r>
      <w:r w:rsidR="00EA7270" w:rsidRPr="00EF153E">
        <w:rPr>
          <w:rFonts w:ascii="Times New Roman" w:hAnsi="Times New Roman" w:cs="Times New Roman"/>
          <w:sz w:val="24"/>
          <w:szCs w:val="24"/>
        </w:rPr>
        <w:t xml:space="preserve"> contribution </w:t>
      </w:r>
      <w:r w:rsidR="00EF153E">
        <w:rPr>
          <w:rFonts w:ascii="Times New Roman" w:hAnsi="Times New Roman" w:cs="Times New Roman"/>
          <w:sz w:val="24"/>
          <w:szCs w:val="24"/>
        </w:rPr>
        <w:t>₹</w:t>
      </w:r>
      <w:r w:rsidR="007C00A0">
        <w:rPr>
          <w:rFonts w:ascii="Times New Roman" w:hAnsi="Times New Roman" w:cs="Times New Roman"/>
          <w:sz w:val="24"/>
          <w:szCs w:val="24"/>
        </w:rPr>
        <w:t>2</w:t>
      </w:r>
      <w:r w:rsidR="00030590">
        <w:rPr>
          <w:rFonts w:ascii="Times New Roman" w:hAnsi="Times New Roman" w:cs="Times New Roman"/>
          <w:sz w:val="24"/>
          <w:szCs w:val="24"/>
        </w:rPr>
        <w:t>19.58</w:t>
      </w:r>
      <w:r w:rsidR="00E532EE" w:rsidRPr="00EF153E">
        <w:rPr>
          <w:rFonts w:ascii="Times New Roman" w:hAnsi="Times New Roman" w:cs="Times New Roman"/>
          <w:sz w:val="24"/>
          <w:szCs w:val="24"/>
        </w:rPr>
        <w:t xml:space="preserve"> </w:t>
      </w:r>
      <w:r w:rsidR="00EA7270" w:rsidRPr="00EF153E">
        <w:rPr>
          <w:rFonts w:ascii="Times New Roman" w:hAnsi="Times New Roman" w:cs="Times New Roman"/>
          <w:sz w:val="24"/>
          <w:szCs w:val="24"/>
        </w:rPr>
        <w:t>crore</w:t>
      </w:r>
      <w:r w:rsidRPr="00EF153E">
        <w:rPr>
          <w:rFonts w:ascii="Times New Roman" w:hAnsi="Times New Roman" w:cs="Times New Roman"/>
          <w:sz w:val="24"/>
          <w:szCs w:val="24"/>
        </w:rPr>
        <w:t>). T</w:t>
      </w:r>
      <w:r w:rsidR="002721FE" w:rsidRPr="00EF153E">
        <w:rPr>
          <w:rFonts w:ascii="Times New Roman" w:hAnsi="Times New Roman" w:cs="Times New Roman"/>
          <w:sz w:val="24"/>
          <w:szCs w:val="24"/>
        </w:rPr>
        <w:t xml:space="preserve">he </w:t>
      </w:r>
      <w:r w:rsidRPr="00EF153E">
        <w:rPr>
          <w:rFonts w:ascii="Times New Roman" w:hAnsi="Times New Roman" w:cs="Times New Roman"/>
          <w:sz w:val="24"/>
          <w:szCs w:val="24"/>
        </w:rPr>
        <w:t xml:space="preserve">detailed information on </w:t>
      </w:r>
      <w:r w:rsidR="007C0100">
        <w:rPr>
          <w:rFonts w:ascii="Times New Roman" w:hAnsi="Times New Roman" w:cs="Times New Roman"/>
          <w:sz w:val="24"/>
          <w:szCs w:val="24"/>
        </w:rPr>
        <w:lastRenderedPageBreak/>
        <w:t>G</w:t>
      </w:r>
      <w:r w:rsidR="002721FE" w:rsidRPr="00EF153E">
        <w:rPr>
          <w:rFonts w:ascii="Times New Roman" w:hAnsi="Times New Roman" w:cs="Times New Roman"/>
          <w:sz w:val="24"/>
          <w:szCs w:val="24"/>
        </w:rPr>
        <w:t xml:space="preserve">overnment contribution </w:t>
      </w:r>
      <w:r w:rsidRPr="00EF153E">
        <w:rPr>
          <w:rFonts w:ascii="Times New Roman" w:hAnsi="Times New Roman" w:cs="Times New Roman"/>
          <w:sz w:val="24"/>
          <w:szCs w:val="24"/>
        </w:rPr>
        <w:t xml:space="preserve">is available </w:t>
      </w:r>
      <w:r w:rsidR="002721FE" w:rsidRPr="00EF153E">
        <w:rPr>
          <w:rFonts w:ascii="Times New Roman" w:hAnsi="Times New Roman" w:cs="Times New Roman"/>
          <w:sz w:val="24"/>
          <w:szCs w:val="24"/>
        </w:rPr>
        <w:t>in Statement No. 15</w:t>
      </w:r>
      <w:r w:rsidR="00C17129" w:rsidRPr="00EF153E">
        <w:rPr>
          <w:rFonts w:ascii="Times New Roman" w:hAnsi="Times New Roman" w:cs="Times New Roman"/>
          <w:sz w:val="24"/>
          <w:szCs w:val="24"/>
        </w:rPr>
        <w:t xml:space="preserve"> of the Finance Accounts</w:t>
      </w:r>
      <w:r w:rsidR="00EA7270" w:rsidRPr="00EF153E">
        <w:rPr>
          <w:rFonts w:ascii="Times New Roman" w:hAnsi="Times New Roman" w:cs="Times New Roman"/>
          <w:sz w:val="24"/>
          <w:szCs w:val="24"/>
        </w:rPr>
        <w:t xml:space="preserve">. The Government transferred </w:t>
      </w:r>
      <w:hyperlink r:id="rId20" w:history="1">
        <w:r w:rsidR="00EF153E">
          <w:rPr>
            <w:rFonts w:ascii="Times New Roman" w:hAnsi="Times New Roman" w:cs="Times New Roman"/>
            <w:sz w:val="24"/>
            <w:szCs w:val="24"/>
          </w:rPr>
          <w:t>₹</w:t>
        </w:r>
        <w:r w:rsidR="007C00A0">
          <w:rPr>
            <w:rStyle w:val="Hyperlink"/>
            <w:rFonts w:ascii="Times New Roman" w:hAnsi="Times New Roman" w:cs="Times New Roman"/>
            <w:color w:val="auto"/>
            <w:sz w:val="24"/>
            <w:szCs w:val="24"/>
            <w:u w:val="none"/>
          </w:rPr>
          <w:t>449.65</w:t>
        </w:r>
        <w:r w:rsidR="00E532EE" w:rsidRPr="00EF153E">
          <w:rPr>
            <w:rStyle w:val="Hyperlink"/>
            <w:rFonts w:ascii="Times New Roman" w:hAnsi="Times New Roman" w:cs="Times New Roman"/>
            <w:color w:val="auto"/>
            <w:sz w:val="24"/>
            <w:szCs w:val="24"/>
            <w:u w:val="none"/>
          </w:rPr>
          <w:t xml:space="preserve"> </w:t>
        </w:r>
        <w:r w:rsidR="00EA7270" w:rsidRPr="00EF153E">
          <w:rPr>
            <w:rStyle w:val="Hyperlink"/>
            <w:rFonts w:ascii="Times New Roman" w:hAnsi="Times New Roman" w:cs="Times New Roman"/>
            <w:color w:val="auto"/>
            <w:sz w:val="24"/>
            <w:szCs w:val="24"/>
            <w:u w:val="none"/>
          </w:rPr>
          <w:t>crore</w:t>
        </w:r>
      </w:hyperlink>
      <w:r w:rsidR="00EA7270" w:rsidRPr="00EF153E">
        <w:rPr>
          <w:rFonts w:ascii="Times New Roman" w:hAnsi="Times New Roman" w:cs="Times New Roman"/>
          <w:sz w:val="24"/>
          <w:szCs w:val="24"/>
        </w:rPr>
        <w:t xml:space="preserve"> to the </w:t>
      </w:r>
      <w:r w:rsidR="00DA5299">
        <w:rPr>
          <w:rFonts w:ascii="Times New Roman" w:hAnsi="Times New Roman" w:cs="Times New Roman"/>
          <w:sz w:val="24"/>
          <w:szCs w:val="24"/>
        </w:rPr>
        <w:t>Public Account under Major Head 8342-117 Defined Contribution Pension scheme and the Government also transferred ₹</w:t>
      </w:r>
      <w:r w:rsidR="007C00A0">
        <w:rPr>
          <w:rFonts w:ascii="Times New Roman" w:hAnsi="Times New Roman" w:cs="Times New Roman"/>
          <w:sz w:val="24"/>
          <w:szCs w:val="24"/>
        </w:rPr>
        <w:t>440.47</w:t>
      </w:r>
      <w:r w:rsidR="00DA5299">
        <w:rPr>
          <w:rFonts w:ascii="Times New Roman" w:hAnsi="Times New Roman" w:cs="Times New Roman"/>
          <w:sz w:val="24"/>
          <w:szCs w:val="24"/>
        </w:rPr>
        <w:t xml:space="preserve"> crore to the NSDL. </w:t>
      </w:r>
      <w:r w:rsidR="00EA7270" w:rsidRPr="00EF153E">
        <w:rPr>
          <w:rFonts w:ascii="Times New Roman" w:hAnsi="Times New Roman" w:cs="Times New Roman"/>
          <w:sz w:val="24"/>
          <w:szCs w:val="24"/>
        </w:rPr>
        <w:t>The Government</w:t>
      </w:r>
      <w:r w:rsidR="00A941A4" w:rsidRPr="00EF153E">
        <w:rPr>
          <w:rFonts w:ascii="Times New Roman" w:hAnsi="Times New Roman" w:cs="Times New Roman"/>
          <w:sz w:val="24"/>
          <w:szCs w:val="24"/>
        </w:rPr>
        <w:t>’s</w:t>
      </w:r>
      <w:r w:rsidR="00EA7270" w:rsidRPr="00EF153E">
        <w:rPr>
          <w:rFonts w:ascii="Times New Roman" w:hAnsi="Times New Roman" w:cs="Times New Roman"/>
          <w:sz w:val="24"/>
          <w:szCs w:val="24"/>
        </w:rPr>
        <w:t xml:space="preserve"> contribution to</w:t>
      </w:r>
      <w:r w:rsidR="00991067" w:rsidRPr="00EF153E">
        <w:rPr>
          <w:rFonts w:ascii="Times New Roman" w:hAnsi="Times New Roman" w:cs="Times New Roman"/>
          <w:sz w:val="24"/>
          <w:szCs w:val="24"/>
        </w:rPr>
        <w:t xml:space="preserve"> the</w:t>
      </w:r>
      <w:r w:rsidR="00EA7270" w:rsidRPr="00EF153E">
        <w:rPr>
          <w:rFonts w:ascii="Times New Roman" w:hAnsi="Times New Roman" w:cs="Times New Roman"/>
          <w:sz w:val="24"/>
          <w:szCs w:val="24"/>
        </w:rPr>
        <w:t xml:space="preserve"> NPS was less by </w:t>
      </w:r>
      <w:r w:rsidR="00EF153E">
        <w:rPr>
          <w:rFonts w:ascii="Times New Roman" w:hAnsi="Times New Roman" w:cs="Times New Roman"/>
          <w:sz w:val="24"/>
          <w:szCs w:val="24"/>
        </w:rPr>
        <w:t>₹</w:t>
      </w:r>
      <w:r w:rsidR="00E24C4D">
        <w:rPr>
          <w:rFonts w:ascii="Times New Roman" w:hAnsi="Times New Roman" w:cs="Times New Roman"/>
          <w:sz w:val="24"/>
          <w:szCs w:val="24"/>
        </w:rPr>
        <w:t>10.49</w:t>
      </w:r>
      <w:r w:rsidR="00EA7270" w:rsidRPr="00EF153E">
        <w:rPr>
          <w:rFonts w:ascii="Times New Roman" w:hAnsi="Times New Roman" w:cs="Times New Roman"/>
          <w:sz w:val="24"/>
          <w:szCs w:val="24"/>
        </w:rPr>
        <w:t xml:space="preserve"> crore</w:t>
      </w:r>
      <w:r w:rsidR="00991067" w:rsidRPr="00EF153E">
        <w:rPr>
          <w:rFonts w:ascii="Times New Roman" w:hAnsi="Times New Roman" w:cs="Times New Roman"/>
          <w:sz w:val="24"/>
          <w:szCs w:val="24"/>
        </w:rPr>
        <w:t>,</w:t>
      </w:r>
      <w:r w:rsidR="00EA7270" w:rsidRPr="00EF153E">
        <w:rPr>
          <w:rFonts w:ascii="Times New Roman" w:hAnsi="Times New Roman" w:cs="Times New Roman"/>
          <w:sz w:val="24"/>
          <w:szCs w:val="24"/>
        </w:rPr>
        <w:t xml:space="preserve"> which resulted in </w:t>
      </w:r>
      <w:r w:rsidR="00C32234">
        <w:rPr>
          <w:rFonts w:ascii="Times New Roman" w:hAnsi="Times New Roman" w:cs="Times New Roman"/>
          <w:sz w:val="24"/>
          <w:szCs w:val="24"/>
        </w:rPr>
        <w:t>understatement</w:t>
      </w:r>
      <w:r w:rsidR="00A948DF">
        <w:rPr>
          <w:rFonts w:ascii="Times New Roman" w:hAnsi="Times New Roman" w:cs="Times New Roman"/>
          <w:sz w:val="24"/>
          <w:szCs w:val="24"/>
        </w:rPr>
        <w:t xml:space="preserve"> of Revenue Expenditure</w:t>
      </w:r>
      <w:r w:rsidR="00EA7270" w:rsidRPr="00EF153E">
        <w:rPr>
          <w:rFonts w:ascii="Times New Roman" w:hAnsi="Times New Roman" w:cs="Times New Roman"/>
          <w:sz w:val="24"/>
          <w:szCs w:val="24"/>
        </w:rPr>
        <w:t xml:space="preserve">. </w:t>
      </w:r>
    </w:p>
    <w:p w14:paraId="216927DE" w14:textId="4E4D6FA2" w:rsidR="00ED63E3" w:rsidRPr="00EF153E" w:rsidRDefault="00EA7270" w:rsidP="00F43A34">
      <w:pPr>
        <w:pStyle w:val="ListParagraph"/>
        <w:widowControl w:val="0"/>
        <w:numPr>
          <w:ilvl w:val="0"/>
          <w:numId w:val="21"/>
        </w:numPr>
        <w:tabs>
          <w:tab w:val="left" w:pos="1260"/>
        </w:tabs>
        <w:autoSpaceDE w:val="0"/>
        <w:autoSpaceDN w:val="0"/>
        <w:adjustRightInd w:val="0"/>
        <w:spacing w:before="240" w:after="240" w:line="288" w:lineRule="auto"/>
        <w:ind w:left="540" w:hanging="540"/>
        <w:contextualSpacing w:val="0"/>
        <w:jc w:val="both"/>
        <w:rPr>
          <w:rFonts w:ascii="Times New Roman" w:hAnsi="Times New Roman" w:cs="Times New Roman"/>
          <w:b/>
          <w:sz w:val="24"/>
          <w:szCs w:val="24"/>
        </w:rPr>
      </w:pPr>
      <w:r w:rsidRPr="00EF153E">
        <w:rPr>
          <w:rFonts w:ascii="Times New Roman" w:hAnsi="Times New Roman" w:cs="Times New Roman"/>
          <w:b/>
          <w:sz w:val="24"/>
          <w:szCs w:val="24"/>
        </w:rPr>
        <w:t>(A)</w:t>
      </w:r>
      <w:r w:rsidRPr="00EF153E">
        <w:rPr>
          <w:rFonts w:ascii="Times New Roman" w:hAnsi="Times New Roman" w:cs="Times New Roman"/>
          <w:b/>
          <w:sz w:val="24"/>
          <w:szCs w:val="24"/>
        </w:rPr>
        <w:tab/>
      </w:r>
      <w:r w:rsidRPr="00EF153E">
        <w:rPr>
          <w:rFonts w:ascii="Times New Roman" w:hAnsi="Times New Roman" w:cs="Times New Roman"/>
          <w:b/>
          <w:bCs/>
          <w:sz w:val="24"/>
          <w:szCs w:val="24"/>
        </w:rPr>
        <w:t>Reserve</w:t>
      </w:r>
      <w:r w:rsidR="0045688E" w:rsidRPr="00EF153E">
        <w:rPr>
          <w:rFonts w:ascii="Times New Roman" w:hAnsi="Times New Roman" w:cs="Times New Roman"/>
          <w:b/>
          <w:bCs/>
          <w:sz w:val="24"/>
          <w:szCs w:val="24"/>
        </w:rPr>
        <w:t xml:space="preserve"> </w:t>
      </w:r>
      <w:r w:rsidRPr="00EF153E">
        <w:rPr>
          <w:rFonts w:ascii="Times New Roman" w:hAnsi="Times New Roman" w:cs="Times New Roman"/>
          <w:b/>
          <w:bCs/>
          <w:sz w:val="24"/>
          <w:szCs w:val="24"/>
        </w:rPr>
        <w:t>Funds</w:t>
      </w:r>
      <w:r w:rsidRPr="00EF153E">
        <w:rPr>
          <w:rFonts w:ascii="Times New Roman" w:hAnsi="Times New Roman" w:cs="Times New Roman"/>
          <w:b/>
          <w:sz w:val="24"/>
          <w:szCs w:val="24"/>
        </w:rPr>
        <w:t xml:space="preserve"> bearing Interest: </w:t>
      </w:r>
      <w:r w:rsidR="00780D6E">
        <w:rPr>
          <w:rFonts w:ascii="Times New Roman" w:hAnsi="Times New Roman" w:cs="Times New Roman"/>
          <w:b/>
          <w:sz w:val="24"/>
          <w:szCs w:val="24"/>
        </w:rPr>
        <w:t xml:space="preserve">         </w:t>
      </w:r>
    </w:p>
    <w:p w14:paraId="5A2B2D17" w14:textId="0F32987C" w:rsidR="00097B47" w:rsidRPr="006B0390" w:rsidRDefault="00EA7270" w:rsidP="00F43A34">
      <w:pPr>
        <w:pStyle w:val="ListParagraph"/>
        <w:numPr>
          <w:ilvl w:val="0"/>
          <w:numId w:val="23"/>
        </w:numPr>
        <w:spacing w:before="240" w:after="240" w:line="288" w:lineRule="auto"/>
        <w:ind w:left="360" w:firstLine="0"/>
        <w:jc w:val="both"/>
        <w:outlineLvl w:val="0"/>
        <w:rPr>
          <w:rFonts w:ascii="Times New Roman" w:hAnsi="Times New Roman" w:cs="Times New Roman"/>
        </w:rPr>
      </w:pPr>
      <w:r w:rsidRPr="006B0390">
        <w:rPr>
          <w:rFonts w:ascii="Times New Roman" w:hAnsi="Times New Roman" w:cs="Times New Roman"/>
          <w:b/>
          <w:bCs/>
          <w:sz w:val="24"/>
          <w:szCs w:val="24"/>
        </w:rPr>
        <w:t>State Disaster Response Fund (SDRF):</w:t>
      </w:r>
      <w:r w:rsidR="00511CEC" w:rsidRPr="006B0390">
        <w:rPr>
          <w:rFonts w:ascii="Times New Roman" w:hAnsi="Times New Roman" w:cs="Times New Roman"/>
          <w:b/>
          <w:bCs/>
          <w:sz w:val="24"/>
          <w:szCs w:val="24"/>
        </w:rPr>
        <w:t xml:space="preserve"> </w:t>
      </w:r>
      <w:r w:rsidRPr="006B0390">
        <w:rPr>
          <w:rFonts w:ascii="Times New Roman" w:hAnsi="Times New Roman" w:cs="Times New Roman"/>
          <w:sz w:val="24"/>
          <w:szCs w:val="24"/>
        </w:rPr>
        <w:t>In terms of guidelines on constitution and administration of the State Disaster Response Fund (under Major Head</w:t>
      </w:r>
      <w:r w:rsidR="004526BC" w:rsidRPr="006B0390">
        <w:rPr>
          <w:rFonts w:ascii="Times New Roman" w:hAnsi="Times New Roman" w:cs="Times New Roman"/>
          <w:sz w:val="24"/>
          <w:szCs w:val="24"/>
        </w:rPr>
        <w:t>- ‘</w:t>
      </w:r>
      <w:r w:rsidRPr="006B0390">
        <w:rPr>
          <w:rFonts w:ascii="Times New Roman" w:hAnsi="Times New Roman" w:cs="Times New Roman"/>
          <w:sz w:val="24"/>
          <w:szCs w:val="24"/>
        </w:rPr>
        <w:t>8121 General &amp; Other Reserve Funds’ which is under interest bearing section), the Central and State Governments are required to contribute to</w:t>
      </w:r>
      <w:r w:rsidR="00E532EE" w:rsidRPr="006B0390">
        <w:rPr>
          <w:rFonts w:ascii="Times New Roman" w:hAnsi="Times New Roman" w:cs="Times New Roman"/>
          <w:sz w:val="24"/>
          <w:szCs w:val="24"/>
        </w:rPr>
        <w:t xml:space="preserve"> t</w:t>
      </w:r>
      <w:r w:rsidR="003A0981" w:rsidRPr="006B0390">
        <w:rPr>
          <w:rFonts w:ascii="Times New Roman" w:hAnsi="Times New Roman" w:cs="Times New Roman"/>
          <w:sz w:val="24"/>
          <w:szCs w:val="24"/>
        </w:rPr>
        <w:t>he fund in the proportion of 90:</w:t>
      </w:r>
      <w:r w:rsidR="00E532EE" w:rsidRPr="006B0390">
        <w:rPr>
          <w:rFonts w:ascii="Times New Roman" w:hAnsi="Times New Roman" w:cs="Times New Roman"/>
          <w:sz w:val="24"/>
          <w:szCs w:val="24"/>
        </w:rPr>
        <w:t>10</w:t>
      </w:r>
      <w:r w:rsidRPr="006B0390">
        <w:rPr>
          <w:rFonts w:ascii="Times New Roman" w:hAnsi="Times New Roman" w:cs="Times New Roman"/>
          <w:sz w:val="24"/>
          <w:szCs w:val="24"/>
        </w:rPr>
        <w:t xml:space="preserve">. During the year </w:t>
      </w:r>
      <w:r w:rsidR="00E532EE" w:rsidRPr="006B0390">
        <w:rPr>
          <w:rFonts w:ascii="Times New Roman" w:hAnsi="Times New Roman" w:cs="Times New Roman"/>
          <w:sz w:val="24"/>
          <w:szCs w:val="24"/>
        </w:rPr>
        <w:t>20</w:t>
      </w:r>
      <w:r w:rsidR="00D513B6" w:rsidRPr="006B0390">
        <w:rPr>
          <w:rFonts w:ascii="Times New Roman" w:hAnsi="Times New Roman" w:cs="Times New Roman"/>
          <w:sz w:val="24"/>
          <w:szCs w:val="24"/>
        </w:rPr>
        <w:t>2</w:t>
      </w:r>
      <w:r w:rsidR="00DE7373" w:rsidRPr="006B0390">
        <w:rPr>
          <w:rFonts w:ascii="Times New Roman" w:hAnsi="Times New Roman" w:cs="Times New Roman"/>
          <w:sz w:val="24"/>
          <w:szCs w:val="24"/>
        </w:rPr>
        <w:t>2</w:t>
      </w:r>
      <w:r w:rsidR="00E532EE" w:rsidRPr="006B0390">
        <w:rPr>
          <w:rFonts w:ascii="Times New Roman" w:hAnsi="Times New Roman" w:cs="Times New Roman"/>
          <w:sz w:val="24"/>
          <w:szCs w:val="24"/>
        </w:rPr>
        <w:t>-2</w:t>
      </w:r>
      <w:r w:rsidR="00DE7373" w:rsidRPr="006B0390">
        <w:rPr>
          <w:rFonts w:ascii="Times New Roman" w:hAnsi="Times New Roman" w:cs="Times New Roman"/>
          <w:sz w:val="24"/>
          <w:szCs w:val="24"/>
        </w:rPr>
        <w:t>3</w:t>
      </w:r>
      <w:r w:rsidR="004526BC" w:rsidRPr="006B0390">
        <w:rPr>
          <w:rFonts w:ascii="Times New Roman" w:hAnsi="Times New Roman" w:cs="Times New Roman"/>
          <w:sz w:val="24"/>
          <w:szCs w:val="24"/>
        </w:rPr>
        <w:t>, the</w:t>
      </w:r>
      <w:r w:rsidRPr="006B0390">
        <w:rPr>
          <w:rFonts w:ascii="Times New Roman" w:hAnsi="Times New Roman" w:cs="Times New Roman"/>
          <w:sz w:val="24"/>
          <w:szCs w:val="24"/>
        </w:rPr>
        <w:t xml:space="preserve"> State Government received </w:t>
      </w:r>
      <w:r w:rsidR="00EF153E" w:rsidRPr="006B0390">
        <w:rPr>
          <w:rFonts w:ascii="Times New Roman" w:hAnsi="Times New Roman" w:cs="Times New Roman"/>
          <w:sz w:val="24"/>
          <w:szCs w:val="24"/>
        </w:rPr>
        <w:t>₹</w:t>
      </w:r>
      <w:r w:rsidR="00DE7373" w:rsidRPr="006B0390">
        <w:rPr>
          <w:rFonts w:ascii="Times New Roman" w:hAnsi="Times New Roman" w:cs="Times New Roman"/>
          <w:sz w:val="24"/>
          <w:szCs w:val="24"/>
        </w:rPr>
        <w:t>35.20</w:t>
      </w:r>
      <w:r w:rsidR="00EB5CD5" w:rsidRPr="006B0390">
        <w:rPr>
          <w:rFonts w:ascii="Times New Roman" w:hAnsi="Times New Roman" w:cs="Times New Roman"/>
          <w:sz w:val="24"/>
          <w:szCs w:val="24"/>
        </w:rPr>
        <w:t xml:space="preserve"> </w:t>
      </w:r>
      <w:r w:rsidR="00840AD7" w:rsidRPr="006B0390">
        <w:rPr>
          <w:rFonts w:ascii="Times New Roman" w:hAnsi="Times New Roman" w:cs="Times New Roman"/>
          <w:sz w:val="24"/>
          <w:szCs w:val="24"/>
        </w:rPr>
        <w:t>crore</w:t>
      </w:r>
      <w:r w:rsidR="003A0981" w:rsidRPr="006B0390">
        <w:rPr>
          <w:rFonts w:ascii="Times New Roman" w:hAnsi="Times New Roman" w:cs="Times New Roman"/>
          <w:sz w:val="24"/>
          <w:szCs w:val="24"/>
        </w:rPr>
        <w:t xml:space="preserve"> </w:t>
      </w:r>
      <w:r w:rsidRPr="006B0390">
        <w:rPr>
          <w:rFonts w:ascii="Times New Roman" w:hAnsi="Times New Roman" w:cs="Times New Roman"/>
          <w:sz w:val="24"/>
          <w:szCs w:val="24"/>
        </w:rPr>
        <w:t>as Central Government’s share</w:t>
      </w:r>
      <w:r w:rsidR="00644805" w:rsidRPr="006B0390">
        <w:rPr>
          <w:rFonts w:ascii="Times New Roman" w:hAnsi="Times New Roman" w:cs="Times New Roman"/>
          <w:sz w:val="24"/>
          <w:szCs w:val="24"/>
        </w:rPr>
        <w:t>. The State Governme</w:t>
      </w:r>
      <w:r w:rsidR="00DA3659">
        <w:rPr>
          <w:rFonts w:ascii="Times New Roman" w:hAnsi="Times New Roman" w:cs="Times New Roman"/>
          <w:sz w:val="24"/>
          <w:szCs w:val="24"/>
        </w:rPr>
        <w:t>nt’s share during the year was</w:t>
      </w:r>
      <w:r w:rsidR="008F4BAB" w:rsidRPr="006B0390">
        <w:rPr>
          <w:rFonts w:ascii="Times New Roman" w:hAnsi="Times New Roman" w:cs="Times New Roman"/>
          <w:sz w:val="24"/>
          <w:szCs w:val="24"/>
        </w:rPr>
        <w:t xml:space="preserve"> </w:t>
      </w:r>
      <w:r w:rsidR="008F4BAB" w:rsidRPr="00F43A34">
        <w:rPr>
          <w:rFonts w:ascii="Times New Roman" w:hAnsi="Times New Roman" w:cs="Times New Roman"/>
          <w:spacing w:val="-2"/>
          <w:sz w:val="24"/>
          <w:szCs w:val="24"/>
        </w:rPr>
        <w:t>₹</w:t>
      </w:r>
      <w:r w:rsidR="00DE7373" w:rsidRPr="00F43A34">
        <w:rPr>
          <w:rFonts w:ascii="Times New Roman" w:hAnsi="Times New Roman" w:cs="Times New Roman"/>
          <w:spacing w:val="-2"/>
          <w:sz w:val="24"/>
          <w:szCs w:val="24"/>
        </w:rPr>
        <w:t>3.91</w:t>
      </w:r>
      <w:r w:rsidR="00F43A34" w:rsidRPr="00F43A34">
        <w:rPr>
          <w:rFonts w:ascii="Times New Roman" w:hAnsi="Times New Roman" w:cs="Times New Roman"/>
          <w:spacing w:val="-2"/>
          <w:sz w:val="24"/>
          <w:szCs w:val="24"/>
        </w:rPr>
        <w:t> </w:t>
      </w:r>
      <w:r w:rsidR="00644805" w:rsidRPr="00F43A34">
        <w:rPr>
          <w:rFonts w:ascii="Times New Roman" w:hAnsi="Times New Roman" w:cs="Times New Roman"/>
          <w:spacing w:val="-2"/>
          <w:sz w:val="24"/>
          <w:szCs w:val="24"/>
        </w:rPr>
        <w:t xml:space="preserve">crore. The State Government </w:t>
      </w:r>
      <w:r w:rsidR="00DE2262" w:rsidRPr="00F43A34">
        <w:rPr>
          <w:rFonts w:ascii="Times New Roman" w:hAnsi="Times New Roman" w:cs="Times New Roman"/>
          <w:spacing w:val="-2"/>
          <w:sz w:val="24"/>
          <w:szCs w:val="24"/>
        </w:rPr>
        <w:t>did not transfer C</w:t>
      </w:r>
      <w:r w:rsidR="00644805" w:rsidRPr="00F43A34">
        <w:rPr>
          <w:rFonts w:ascii="Times New Roman" w:hAnsi="Times New Roman" w:cs="Times New Roman"/>
          <w:spacing w:val="-2"/>
          <w:sz w:val="24"/>
          <w:szCs w:val="24"/>
        </w:rPr>
        <w:t>entral share</w:t>
      </w:r>
      <w:r w:rsidR="00DE2262" w:rsidRPr="00F43A34">
        <w:rPr>
          <w:rFonts w:ascii="Times New Roman" w:hAnsi="Times New Roman" w:cs="Times New Roman"/>
          <w:spacing w:val="-2"/>
          <w:sz w:val="24"/>
          <w:szCs w:val="24"/>
        </w:rPr>
        <w:t xml:space="preserve"> and</w:t>
      </w:r>
      <w:r w:rsidR="00644805" w:rsidRPr="00F43A34">
        <w:rPr>
          <w:rFonts w:ascii="Times New Roman" w:hAnsi="Times New Roman" w:cs="Times New Roman"/>
          <w:spacing w:val="-2"/>
          <w:sz w:val="24"/>
          <w:szCs w:val="24"/>
        </w:rPr>
        <w:t xml:space="preserve"> State share </w:t>
      </w:r>
      <w:r w:rsidR="007B6B8D" w:rsidRPr="00F43A34">
        <w:rPr>
          <w:rFonts w:ascii="Times New Roman" w:hAnsi="Times New Roman" w:cs="Times New Roman"/>
          <w:spacing w:val="-2"/>
          <w:sz w:val="24"/>
          <w:szCs w:val="24"/>
        </w:rPr>
        <w:t>to the F</w:t>
      </w:r>
      <w:r w:rsidR="00A33DDC" w:rsidRPr="00F43A34">
        <w:rPr>
          <w:rFonts w:ascii="Times New Roman" w:hAnsi="Times New Roman" w:cs="Times New Roman"/>
          <w:spacing w:val="-2"/>
          <w:sz w:val="24"/>
          <w:szCs w:val="24"/>
        </w:rPr>
        <w:t xml:space="preserve">und </w:t>
      </w:r>
      <w:r w:rsidR="00644805" w:rsidRPr="00F43A34">
        <w:rPr>
          <w:rFonts w:ascii="Times New Roman" w:hAnsi="Times New Roman" w:cs="Times New Roman"/>
          <w:spacing w:val="-2"/>
          <w:sz w:val="24"/>
          <w:szCs w:val="24"/>
        </w:rPr>
        <w:t xml:space="preserve">under Major Head </w:t>
      </w:r>
      <w:r w:rsidRPr="00F43A34">
        <w:rPr>
          <w:rFonts w:ascii="Times New Roman" w:hAnsi="Times New Roman" w:cs="Times New Roman"/>
          <w:spacing w:val="-2"/>
          <w:sz w:val="24"/>
          <w:szCs w:val="24"/>
        </w:rPr>
        <w:t xml:space="preserve">8121-122 SDRF. </w:t>
      </w:r>
      <w:r w:rsidR="00511CEC" w:rsidRPr="00F43A34">
        <w:rPr>
          <w:rFonts w:ascii="Times New Roman" w:hAnsi="Times New Roman" w:cs="Times New Roman"/>
          <w:spacing w:val="-2"/>
          <w:sz w:val="24"/>
          <w:szCs w:val="24"/>
        </w:rPr>
        <w:t>Non-transfer of ₹</w:t>
      </w:r>
      <w:r w:rsidR="00DE7373" w:rsidRPr="00F43A34">
        <w:rPr>
          <w:rFonts w:ascii="Times New Roman" w:hAnsi="Times New Roman" w:cs="Times New Roman"/>
          <w:spacing w:val="-2"/>
          <w:sz w:val="24"/>
          <w:szCs w:val="24"/>
        </w:rPr>
        <w:t>39.11</w:t>
      </w:r>
      <w:r w:rsidR="00511CEC" w:rsidRPr="00F43A34">
        <w:rPr>
          <w:rFonts w:ascii="Times New Roman" w:hAnsi="Times New Roman" w:cs="Times New Roman"/>
          <w:spacing w:val="-2"/>
          <w:sz w:val="24"/>
          <w:szCs w:val="24"/>
        </w:rPr>
        <w:t xml:space="preserve"> crore (Central Share and State Share) to the fund resulted in understatement of Revenue expenditure is given in Para 6. </w:t>
      </w:r>
      <w:r w:rsidRPr="00F43A34">
        <w:rPr>
          <w:rFonts w:ascii="Times New Roman" w:hAnsi="Times New Roman" w:cs="Times New Roman"/>
          <w:spacing w:val="-2"/>
          <w:sz w:val="24"/>
          <w:szCs w:val="24"/>
        </w:rPr>
        <w:t xml:space="preserve">The State received </w:t>
      </w:r>
      <w:r w:rsidR="006B0390" w:rsidRPr="00F43A34">
        <w:rPr>
          <w:rFonts w:ascii="Times New Roman" w:hAnsi="Times New Roman" w:cs="Times New Roman"/>
          <w:spacing w:val="-2"/>
          <w:sz w:val="24"/>
          <w:szCs w:val="24"/>
        </w:rPr>
        <w:t xml:space="preserve">no amount </w:t>
      </w:r>
      <w:r w:rsidR="00777AEB" w:rsidRPr="00F43A34">
        <w:rPr>
          <w:rFonts w:ascii="Times New Roman" w:hAnsi="Times New Roman" w:cs="Times New Roman"/>
          <w:spacing w:val="-2"/>
          <w:sz w:val="24"/>
          <w:szCs w:val="24"/>
        </w:rPr>
        <w:t>from</w:t>
      </w:r>
      <w:r w:rsidRPr="00F43A34">
        <w:rPr>
          <w:rFonts w:ascii="Times New Roman" w:hAnsi="Times New Roman" w:cs="Times New Roman"/>
          <w:spacing w:val="-2"/>
          <w:sz w:val="24"/>
          <w:szCs w:val="24"/>
        </w:rPr>
        <w:t xml:space="preserve"> the Central Government towards NDRF</w:t>
      </w:r>
      <w:r w:rsidR="006B0390" w:rsidRPr="00F43A34">
        <w:rPr>
          <w:rFonts w:ascii="Times New Roman" w:hAnsi="Times New Roman" w:cs="Times New Roman"/>
          <w:spacing w:val="-2"/>
          <w:sz w:val="24"/>
          <w:szCs w:val="24"/>
        </w:rPr>
        <w:t>.</w:t>
      </w:r>
    </w:p>
    <w:p w14:paraId="456DA319" w14:textId="77777777" w:rsidR="006B0390" w:rsidRPr="006B0390" w:rsidRDefault="006B0390" w:rsidP="006B0390">
      <w:pPr>
        <w:pStyle w:val="ListParagraph"/>
        <w:spacing w:before="240" w:after="240" w:line="288" w:lineRule="auto"/>
        <w:jc w:val="both"/>
        <w:outlineLvl w:val="0"/>
        <w:rPr>
          <w:rFonts w:ascii="Times New Roman" w:hAnsi="Times New Roman" w:cs="Times New Roman"/>
        </w:rPr>
      </w:pPr>
    </w:p>
    <w:p w14:paraId="1A16C476" w14:textId="4E79238E" w:rsidR="00097B47" w:rsidRDefault="00097B47" w:rsidP="00F43A34">
      <w:pPr>
        <w:pStyle w:val="ListParagraph"/>
        <w:spacing w:before="240" w:line="288" w:lineRule="auto"/>
        <w:ind w:left="360"/>
        <w:contextualSpacing w:val="0"/>
        <w:jc w:val="both"/>
        <w:outlineLvl w:val="0"/>
        <w:rPr>
          <w:rFonts w:ascii="Times New Roman" w:hAnsi="Times New Roman" w:cs="Times New Roman"/>
          <w:sz w:val="24"/>
          <w:szCs w:val="24"/>
        </w:rPr>
      </w:pPr>
      <w:r w:rsidRPr="00097B47">
        <w:rPr>
          <w:rFonts w:ascii="Times New Roman" w:hAnsi="Times New Roman" w:cs="Times New Roman"/>
          <w:b/>
          <w:sz w:val="24"/>
          <w:szCs w:val="24"/>
        </w:rPr>
        <w:t xml:space="preserve">(b) </w:t>
      </w:r>
      <w:r w:rsidR="004E346E">
        <w:rPr>
          <w:rFonts w:ascii="Times New Roman" w:hAnsi="Times New Roman" w:cs="Times New Roman"/>
          <w:b/>
          <w:sz w:val="24"/>
          <w:szCs w:val="24"/>
        </w:rPr>
        <w:tab/>
      </w:r>
      <w:r w:rsidRPr="00097B47">
        <w:rPr>
          <w:rFonts w:ascii="Times New Roman" w:hAnsi="Times New Roman" w:cs="Times New Roman"/>
          <w:b/>
          <w:sz w:val="24"/>
          <w:szCs w:val="24"/>
        </w:rPr>
        <w:t>State Disaster Mitigation Fund</w:t>
      </w:r>
      <w:r>
        <w:rPr>
          <w:rFonts w:ascii="Times New Roman" w:hAnsi="Times New Roman" w:cs="Times New Roman"/>
          <w:b/>
          <w:sz w:val="24"/>
          <w:szCs w:val="24"/>
        </w:rPr>
        <w:t xml:space="preserve">: </w:t>
      </w:r>
      <w:r>
        <w:rPr>
          <w:rFonts w:ascii="Times New Roman" w:hAnsi="Times New Roman" w:cs="Times New Roman"/>
          <w:sz w:val="24"/>
          <w:szCs w:val="24"/>
        </w:rPr>
        <w:t xml:space="preserve">The State Disaster Mitigation (SDMF) is to be constituted under section 48 (1) (c) of the Disaster Management Act, 2005. The Fund is exclusively for the purpose of mitigation project in respect of disaster covered under State Disaster Response Fund (SDRF)/National Disaster Response Fund (NDRF) guidelines and the State specific local disaster notified by the State Government from time to time. </w:t>
      </w:r>
      <w:r w:rsidRPr="00631584">
        <w:rPr>
          <w:rFonts w:ascii="Times New Roman" w:hAnsi="Times New Roman" w:cs="Times New Roman"/>
          <w:sz w:val="24"/>
          <w:szCs w:val="24"/>
        </w:rPr>
        <w:t>The State Government has not created the SDMF as on 31-March 2023 under Major Head 8121-130-State Disaster Mitigation Fund.</w:t>
      </w:r>
    </w:p>
    <w:p w14:paraId="40EF7F22" w14:textId="14FA28E8" w:rsidR="00C01957" w:rsidRPr="00A64273" w:rsidRDefault="00097B47" w:rsidP="00A64273">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097B47">
        <w:rPr>
          <w:rFonts w:ascii="Times New Roman" w:hAnsi="Times New Roman" w:cs="Times New Roman"/>
          <w:sz w:val="24"/>
          <w:szCs w:val="24"/>
        </w:rPr>
        <w:t>During the year 202</w:t>
      </w:r>
      <w:r w:rsidR="006B0390">
        <w:rPr>
          <w:rFonts w:ascii="Times New Roman" w:hAnsi="Times New Roman" w:cs="Times New Roman"/>
          <w:sz w:val="24"/>
          <w:szCs w:val="24"/>
        </w:rPr>
        <w:t>2-23</w:t>
      </w:r>
      <w:r w:rsidRPr="00097B47">
        <w:rPr>
          <w:rFonts w:ascii="Times New Roman" w:hAnsi="Times New Roman" w:cs="Times New Roman"/>
          <w:sz w:val="24"/>
          <w:szCs w:val="24"/>
        </w:rPr>
        <w:t xml:space="preserve">, the State Government </w:t>
      </w:r>
      <w:r w:rsidR="00040922">
        <w:rPr>
          <w:rFonts w:ascii="Times New Roman" w:hAnsi="Times New Roman" w:cs="Times New Roman"/>
          <w:sz w:val="24"/>
          <w:szCs w:val="24"/>
        </w:rPr>
        <w:t xml:space="preserve">did not </w:t>
      </w:r>
      <w:r w:rsidRPr="00097B47">
        <w:rPr>
          <w:rFonts w:ascii="Times New Roman" w:hAnsi="Times New Roman" w:cs="Times New Roman"/>
          <w:sz w:val="24"/>
          <w:szCs w:val="24"/>
        </w:rPr>
        <w:t xml:space="preserve">receive </w:t>
      </w:r>
      <w:r w:rsidR="00040922">
        <w:rPr>
          <w:rFonts w:ascii="Times New Roman" w:hAnsi="Times New Roman" w:cs="Times New Roman"/>
          <w:sz w:val="24"/>
          <w:szCs w:val="24"/>
        </w:rPr>
        <w:t>any fund</w:t>
      </w:r>
      <w:r>
        <w:rPr>
          <w:rFonts w:ascii="Times New Roman" w:hAnsi="Times New Roman" w:cs="Times New Roman"/>
          <w:sz w:val="24"/>
          <w:szCs w:val="24"/>
        </w:rPr>
        <w:t xml:space="preserve"> from the Central Government. </w:t>
      </w:r>
    </w:p>
    <w:p w14:paraId="6C6549ED" w14:textId="29F95777" w:rsidR="00DA3659" w:rsidRDefault="00B3111B" w:rsidP="00C01957">
      <w:pPr>
        <w:spacing w:before="240" w:after="240" w:line="288" w:lineRule="auto"/>
        <w:ind w:left="360"/>
        <w:jc w:val="both"/>
        <w:outlineLvl w:val="0"/>
        <w:rPr>
          <w:rFonts w:ascii="Times New Roman" w:hAnsi="Times New Roman" w:cs="Times New Roman"/>
          <w:bCs/>
          <w:sz w:val="24"/>
          <w:szCs w:val="24"/>
        </w:rPr>
      </w:pPr>
      <w:r w:rsidRPr="00EF153E">
        <w:rPr>
          <w:rFonts w:ascii="Times New Roman" w:hAnsi="Times New Roman" w:cs="Times New Roman"/>
          <w:b/>
          <w:bCs/>
          <w:color w:val="000000"/>
          <w:sz w:val="24"/>
          <w:szCs w:val="24"/>
        </w:rPr>
        <w:t>(</w:t>
      </w:r>
      <w:r w:rsidR="00F45AA3">
        <w:rPr>
          <w:rFonts w:ascii="Times New Roman" w:hAnsi="Times New Roman" w:cs="Times New Roman"/>
          <w:b/>
          <w:bCs/>
          <w:color w:val="000000"/>
          <w:sz w:val="24"/>
          <w:szCs w:val="24"/>
        </w:rPr>
        <w:t>c</w:t>
      </w:r>
      <w:r w:rsidR="00A634CA" w:rsidRPr="00EF153E">
        <w:rPr>
          <w:rFonts w:ascii="Times New Roman" w:hAnsi="Times New Roman" w:cs="Times New Roman"/>
          <w:b/>
          <w:bCs/>
          <w:color w:val="000000"/>
          <w:sz w:val="24"/>
          <w:szCs w:val="24"/>
        </w:rPr>
        <w:t>)</w:t>
      </w:r>
      <w:r w:rsidR="00A634CA" w:rsidRPr="00EF153E">
        <w:rPr>
          <w:rFonts w:ascii="Times New Roman" w:hAnsi="Times New Roman" w:cs="Times New Roman"/>
          <w:b/>
          <w:bCs/>
          <w:color w:val="000000"/>
          <w:sz w:val="24"/>
          <w:szCs w:val="24"/>
        </w:rPr>
        <w:tab/>
      </w:r>
      <w:r w:rsidRPr="00EF153E">
        <w:rPr>
          <w:rFonts w:ascii="Times New Roman" w:hAnsi="Times New Roman" w:cs="Times New Roman"/>
          <w:b/>
          <w:color w:val="000000"/>
          <w:sz w:val="24"/>
          <w:szCs w:val="24"/>
        </w:rPr>
        <w:t xml:space="preserve">State </w:t>
      </w:r>
      <w:r w:rsidRPr="00EF153E">
        <w:rPr>
          <w:rFonts w:ascii="Times New Roman" w:hAnsi="Times New Roman" w:cs="Times New Roman"/>
          <w:b/>
          <w:bCs/>
          <w:sz w:val="24"/>
          <w:szCs w:val="24"/>
        </w:rPr>
        <w:t>Compensatory</w:t>
      </w:r>
      <w:r w:rsidRPr="00EF153E">
        <w:rPr>
          <w:rFonts w:ascii="Times New Roman" w:hAnsi="Times New Roman" w:cs="Times New Roman"/>
          <w:b/>
          <w:color w:val="000000"/>
          <w:sz w:val="24"/>
          <w:szCs w:val="24"/>
        </w:rPr>
        <w:t xml:space="preserve"> Afforestation Fund: </w:t>
      </w:r>
      <w:r w:rsidR="00172B9D" w:rsidRPr="00EF153E">
        <w:rPr>
          <w:rFonts w:ascii="Times New Roman" w:hAnsi="Times New Roman" w:cs="Times New Roman"/>
          <w:bCs/>
          <w:sz w:val="24"/>
          <w:szCs w:val="24"/>
        </w:rPr>
        <w:t>In compliance with the instructions issued by the Ministry of Environment</w:t>
      </w:r>
      <w:r w:rsidR="0017749E" w:rsidRPr="00EF153E">
        <w:rPr>
          <w:rFonts w:ascii="Times New Roman" w:hAnsi="Times New Roman" w:cs="Times New Roman"/>
          <w:bCs/>
          <w:sz w:val="24"/>
          <w:szCs w:val="24"/>
        </w:rPr>
        <w:t xml:space="preserve">, </w:t>
      </w:r>
      <w:r w:rsidR="00172B9D" w:rsidRPr="00EF153E">
        <w:rPr>
          <w:rFonts w:ascii="Times New Roman" w:hAnsi="Times New Roman" w:cs="Times New Roman"/>
          <w:bCs/>
          <w:sz w:val="24"/>
          <w:szCs w:val="24"/>
        </w:rPr>
        <w:t>Forests</w:t>
      </w:r>
      <w:r w:rsidR="00697A61" w:rsidRPr="00EF153E">
        <w:rPr>
          <w:rFonts w:ascii="Times New Roman" w:hAnsi="Times New Roman" w:cs="Times New Roman"/>
          <w:bCs/>
          <w:sz w:val="24"/>
          <w:szCs w:val="24"/>
        </w:rPr>
        <w:t xml:space="preserve"> </w:t>
      </w:r>
      <w:r w:rsidR="0017749E" w:rsidRPr="00EF153E">
        <w:rPr>
          <w:rFonts w:ascii="Times New Roman" w:hAnsi="Times New Roman" w:cs="Times New Roman"/>
          <w:bCs/>
          <w:sz w:val="24"/>
          <w:szCs w:val="24"/>
        </w:rPr>
        <w:t>and Climate Change</w:t>
      </w:r>
      <w:r w:rsidR="00172B9D" w:rsidRPr="00EF153E">
        <w:rPr>
          <w:rFonts w:ascii="Times New Roman" w:hAnsi="Times New Roman" w:cs="Times New Roman"/>
          <w:bCs/>
          <w:sz w:val="24"/>
          <w:szCs w:val="24"/>
        </w:rPr>
        <w:t xml:space="preserve">, Government of India, the State </w:t>
      </w:r>
      <w:r w:rsidR="00172B9D" w:rsidRPr="00EF153E">
        <w:rPr>
          <w:rFonts w:ascii="Times New Roman" w:hAnsi="Times New Roman" w:cs="Times New Roman"/>
          <w:sz w:val="24"/>
          <w:szCs w:val="24"/>
        </w:rPr>
        <w:t>Governments</w:t>
      </w:r>
      <w:r w:rsidR="00172B9D" w:rsidRPr="00EF153E">
        <w:rPr>
          <w:rFonts w:ascii="Times New Roman" w:hAnsi="Times New Roman" w:cs="Times New Roman"/>
          <w:bCs/>
          <w:sz w:val="24"/>
          <w:szCs w:val="24"/>
        </w:rPr>
        <w:t xml:space="preserve"> are required to establish the State Compensatory Afforestation Fund under interest bearing section in Public Account o</w:t>
      </w:r>
      <w:r w:rsidR="00ED4296">
        <w:rPr>
          <w:rFonts w:ascii="Times New Roman" w:hAnsi="Times New Roman" w:cs="Times New Roman"/>
          <w:bCs/>
          <w:sz w:val="24"/>
          <w:szCs w:val="24"/>
        </w:rPr>
        <w:t>f the State for amounts receive</w:t>
      </w:r>
      <w:r w:rsidR="005B7B33">
        <w:rPr>
          <w:rFonts w:ascii="Times New Roman" w:hAnsi="Times New Roman" w:cs="Times New Roman"/>
          <w:bCs/>
          <w:sz w:val="24"/>
          <w:szCs w:val="24"/>
        </w:rPr>
        <w:t>d</w:t>
      </w:r>
      <w:r w:rsidR="00172B9D" w:rsidRPr="00EF153E">
        <w:rPr>
          <w:rFonts w:ascii="Times New Roman" w:hAnsi="Times New Roman" w:cs="Times New Roman"/>
          <w:bCs/>
          <w:sz w:val="24"/>
          <w:szCs w:val="24"/>
        </w:rPr>
        <w:t xml:space="preserve"> from user agencies for undertaking Compensatory Afforestation.</w:t>
      </w:r>
    </w:p>
    <w:p w14:paraId="4C97CA26" w14:textId="69ECD6D7" w:rsidR="006C1D7C" w:rsidRDefault="00172B9D" w:rsidP="00C01957">
      <w:pPr>
        <w:widowControl w:val="0"/>
        <w:autoSpaceDE w:val="0"/>
        <w:autoSpaceDN w:val="0"/>
        <w:adjustRightInd w:val="0"/>
        <w:spacing w:after="0" w:line="288" w:lineRule="auto"/>
        <w:ind w:left="360"/>
        <w:jc w:val="both"/>
        <w:rPr>
          <w:rFonts w:ascii="Times New Roman" w:hAnsi="Times New Roman" w:cs="Times New Roman"/>
          <w:bCs/>
          <w:sz w:val="24"/>
          <w:szCs w:val="24"/>
        </w:rPr>
      </w:pPr>
      <w:r w:rsidRPr="000E2559">
        <w:rPr>
          <w:rFonts w:ascii="Times New Roman" w:hAnsi="Times New Roman" w:cs="Times New Roman"/>
          <w:bCs/>
          <w:sz w:val="24"/>
          <w:szCs w:val="24"/>
        </w:rPr>
        <w:t xml:space="preserve">During the year </w:t>
      </w:r>
      <w:r w:rsidR="00E532EE" w:rsidRPr="000E2559">
        <w:rPr>
          <w:rFonts w:ascii="Times New Roman" w:hAnsi="Times New Roman" w:cs="Times New Roman"/>
          <w:bCs/>
          <w:sz w:val="24"/>
          <w:szCs w:val="24"/>
        </w:rPr>
        <w:t>202</w:t>
      </w:r>
      <w:r w:rsidR="00DE7373" w:rsidRPr="000E2559">
        <w:rPr>
          <w:rFonts w:ascii="Times New Roman" w:hAnsi="Times New Roman" w:cs="Times New Roman"/>
          <w:bCs/>
          <w:sz w:val="24"/>
          <w:szCs w:val="24"/>
        </w:rPr>
        <w:t>2</w:t>
      </w:r>
      <w:r w:rsidR="00E532EE" w:rsidRPr="000E2559">
        <w:rPr>
          <w:rFonts w:ascii="Times New Roman" w:hAnsi="Times New Roman" w:cs="Times New Roman"/>
          <w:bCs/>
          <w:sz w:val="24"/>
          <w:szCs w:val="24"/>
        </w:rPr>
        <w:t>-2</w:t>
      </w:r>
      <w:r w:rsidR="00DE7373" w:rsidRPr="000E2559">
        <w:rPr>
          <w:rFonts w:ascii="Times New Roman" w:hAnsi="Times New Roman" w:cs="Times New Roman"/>
          <w:bCs/>
          <w:sz w:val="24"/>
          <w:szCs w:val="24"/>
        </w:rPr>
        <w:t>3</w:t>
      </w:r>
      <w:r w:rsidRPr="000E2559">
        <w:rPr>
          <w:rFonts w:ascii="Times New Roman" w:hAnsi="Times New Roman" w:cs="Times New Roman"/>
          <w:bCs/>
          <w:sz w:val="24"/>
          <w:szCs w:val="24"/>
        </w:rPr>
        <w:t xml:space="preserve">, the State Government </w:t>
      </w:r>
      <w:r w:rsidR="00E532EE" w:rsidRPr="000E2559">
        <w:rPr>
          <w:rFonts w:ascii="Times New Roman" w:hAnsi="Times New Roman" w:cs="Times New Roman"/>
          <w:bCs/>
          <w:sz w:val="24"/>
          <w:szCs w:val="24"/>
        </w:rPr>
        <w:t xml:space="preserve">did not </w:t>
      </w:r>
      <w:r w:rsidR="00ED4296" w:rsidRPr="000E2559">
        <w:rPr>
          <w:rFonts w:ascii="Times New Roman" w:hAnsi="Times New Roman" w:cs="Times New Roman"/>
          <w:bCs/>
          <w:sz w:val="24"/>
          <w:szCs w:val="24"/>
        </w:rPr>
        <w:t>receive</w:t>
      </w:r>
      <w:r w:rsidRPr="000E2559">
        <w:rPr>
          <w:rFonts w:ascii="Times New Roman" w:hAnsi="Times New Roman" w:cs="Times New Roman"/>
          <w:bCs/>
          <w:sz w:val="24"/>
          <w:szCs w:val="24"/>
        </w:rPr>
        <w:t xml:space="preserve"> </w:t>
      </w:r>
      <w:r w:rsidR="00E532EE" w:rsidRPr="000E2559">
        <w:rPr>
          <w:rFonts w:ascii="Times New Roman" w:hAnsi="Times New Roman" w:cs="Times New Roman"/>
          <w:bCs/>
          <w:sz w:val="24"/>
          <w:szCs w:val="24"/>
        </w:rPr>
        <w:t>any amount</w:t>
      </w:r>
      <w:r w:rsidR="00974E3D" w:rsidRPr="000E2559">
        <w:rPr>
          <w:rFonts w:ascii="Times New Roman" w:hAnsi="Times New Roman" w:cs="Times New Roman"/>
          <w:bCs/>
          <w:sz w:val="24"/>
          <w:szCs w:val="24"/>
        </w:rPr>
        <w:t xml:space="preserve"> </w:t>
      </w:r>
      <w:r w:rsidRPr="000E2559">
        <w:rPr>
          <w:rFonts w:ascii="Times New Roman" w:hAnsi="Times New Roman" w:cs="Times New Roman"/>
          <w:bCs/>
          <w:sz w:val="24"/>
          <w:szCs w:val="24"/>
        </w:rPr>
        <w:t>from the user agencies</w:t>
      </w:r>
      <w:r w:rsidR="00E532EE" w:rsidRPr="000E2559">
        <w:rPr>
          <w:rFonts w:ascii="Times New Roman" w:hAnsi="Times New Roman" w:cs="Times New Roman"/>
          <w:bCs/>
          <w:sz w:val="24"/>
          <w:szCs w:val="24"/>
        </w:rPr>
        <w:t>.</w:t>
      </w:r>
      <w:r w:rsidR="00974E3D" w:rsidRPr="000E2559">
        <w:rPr>
          <w:rFonts w:ascii="Times New Roman" w:hAnsi="Times New Roman" w:cs="Times New Roman"/>
          <w:bCs/>
          <w:sz w:val="24"/>
          <w:szCs w:val="24"/>
        </w:rPr>
        <w:t xml:space="preserve"> </w:t>
      </w:r>
      <w:r w:rsidRPr="000E2559">
        <w:rPr>
          <w:rFonts w:ascii="Times New Roman" w:hAnsi="Times New Roman" w:cs="Times New Roman"/>
          <w:bCs/>
          <w:sz w:val="24"/>
          <w:szCs w:val="24"/>
        </w:rPr>
        <w:t xml:space="preserve">The Government also </w:t>
      </w:r>
      <w:r w:rsidR="006C4F8A" w:rsidRPr="000E2559">
        <w:rPr>
          <w:rFonts w:ascii="Times New Roman" w:hAnsi="Times New Roman" w:cs="Times New Roman"/>
          <w:bCs/>
          <w:sz w:val="24"/>
          <w:szCs w:val="24"/>
        </w:rPr>
        <w:t xml:space="preserve">did not </w:t>
      </w:r>
      <w:r w:rsidR="00ED4296" w:rsidRPr="000E2559">
        <w:rPr>
          <w:rFonts w:ascii="Times New Roman" w:hAnsi="Times New Roman" w:cs="Times New Roman"/>
          <w:bCs/>
          <w:sz w:val="24"/>
          <w:szCs w:val="24"/>
        </w:rPr>
        <w:t>receive</w:t>
      </w:r>
      <w:r w:rsidRPr="000E2559">
        <w:rPr>
          <w:rFonts w:ascii="Times New Roman" w:hAnsi="Times New Roman" w:cs="Times New Roman"/>
          <w:bCs/>
          <w:sz w:val="24"/>
          <w:szCs w:val="24"/>
        </w:rPr>
        <w:t xml:space="preserve"> </w:t>
      </w:r>
      <w:r w:rsidR="006C4F8A" w:rsidRPr="000E2559">
        <w:rPr>
          <w:rFonts w:ascii="Times New Roman" w:hAnsi="Times New Roman" w:cs="Times New Roman"/>
          <w:bCs/>
          <w:sz w:val="24"/>
          <w:szCs w:val="24"/>
        </w:rPr>
        <w:t>any amount</w:t>
      </w:r>
      <w:r w:rsidRPr="000E2559">
        <w:rPr>
          <w:rFonts w:ascii="Times New Roman" w:hAnsi="Times New Roman" w:cs="Times New Roman"/>
          <w:bCs/>
          <w:sz w:val="24"/>
          <w:szCs w:val="24"/>
        </w:rPr>
        <w:t xml:space="preserve"> from National Compensatory Afforestation Deposit. </w:t>
      </w:r>
      <w:r w:rsidR="006C1D7C" w:rsidRPr="00602A2B">
        <w:rPr>
          <w:rFonts w:ascii="Times New Roman" w:hAnsi="Times New Roman" w:cs="Times New Roman"/>
          <w:bCs/>
          <w:sz w:val="24"/>
          <w:szCs w:val="24"/>
        </w:rPr>
        <w:t xml:space="preserve">The State Government did not transfer </w:t>
      </w:r>
      <w:r w:rsidR="006C1D7C">
        <w:rPr>
          <w:rFonts w:ascii="Times New Roman" w:hAnsi="Times New Roman" w:cs="Times New Roman"/>
          <w:bCs/>
          <w:sz w:val="24"/>
          <w:szCs w:val="24"/>
        </w:rPr>
        <w:t>any amount</w:t>
      </w:r>
      <w:r w:rsidR="006C1D7C" w:rsidRPr="00602A2B">
        <w:rPr>
          <w:rFonts w:ascii="Times New Roman" w:hAnsi="Times New Roman" w:cs="Times New Roman"/>
          <w:bCs/>
          <w:sz w:val="24"/>
          <w:szCs w:val="24"/>
        </w:rPr>
        <w:t xml:space="preserve"> to the Fund under Major Head-8121-129-State Compensatory Afforestation Fund in Public Account as on 31 March 2023.</w:t>
      </w:r>
      <w:r w:rsidR="006C1D7C" w:rsidRPr="000E2559">
        <w:rPr>
          <w:rFonts w:ascii="Times New Roman" w:hAnsi="Times New Roman" w:cs="Times New Roman"/>
          <w:bCs/>
          <w:sz w:val="24"/>
          <w:szCs w:val="24"/>
        </w:rPr>
        <w:t xml:space="preserve">The total balance in the State Compensatory Afforestation Fund as on 31 March 2023 was ₹250.65 crore. </w:t>
      </w:r>
    </w:p>
    <w:p w14:paraId="2C664F96" w14:textId="77777777" w:rsidR="00F43A34" w:rsidRPr="000E2559" w:rsidRDefault="00F43A34" w:rsidP="00C01957">
      <w:pPr>
        <w:widowControl w:val="0"/>
        <w:autoSpaceDE w:val="0"/>
        <w:autoSpaceDN w:val="0"/>
        <w:adjustRightInd w:val="0"/>
        <w:spacing w:after="0" w:line="288" w:lineRule="auto"/>
        <w:ind w:left="360"/>
        <w:jc w:val="both"/>
        <w:rPr>
          <w:rFonts w:ascii="Times New Roman" w:hAnsi="Times New Roman" w:cs="Times New Roman"/>
          <w:bCs/>
          <w:sz w:val="24"/>
          <w:szCs w:val="24"/>
        </w:rPr>
      </w:pPr>
    </w:p>
    <w:p w14:paraId="3E78A5AD" w14:textId="77777777" w:rsidR="00602A2B" w:rsidRPr="006F4E57" w:rsidRDefault="00602A2B" w:rsidP="00A64273">
      <w:pPr>
        <w:widowControl w:val="0"/>
        <w:autoSpaceDE w:val="0"/>
        <w:autoSpaceDN w:val="0"/>
        <w:adjustRightInd w:val="0"/>
        <w:spacing w:after="0" w:line="288" w:lineRule="auto"/>
        <w:ind w:left="360"/>
        <w:jc w:val="both"/>
        <w:rPr>
          <w:rFonts w:ascii="Times New Roman" w:hAnsi="Times New Roman" w:cs="Times New Roman"/>
          <w:sz w:val="16"/>
          <w:szCs w:val="16"/>
        </w:rPr>
      </w:pPr>
    </w:p>
    <w:p w14:paraId="3578A88D" w14:textId="77777777" w:rsidR="00D10E4D" w:rsidRPr="00EF153E" w:rsidRDefault="008E7148" w:rsidP="00A64273">
      <w:pPr>
        <w:spacing w:after="0" w:line="240" w:lineRule="auto"/>
        <w:jc w:val="both"/>
        <w:rPr>
          <w:rFonts w:ascii="Times New Roman" w:hAnsi="Times New Roman" w:cs="Times New Roman"/>
          <w:b/>
          <w:bCs/>
          <w:sz w:val="24"/>
          <w:szCs w:val="24"/>
        </w:rPr>
      </w:pPr>
      <w:r w:rsidRPr="00EF153E">
        <w:rPr>
          <w:rFonts w:ascii="Times New Roman" w:hAnsi="Times New Roman" w:cs="Times New Roman"/>
          <w:b/>
          <w:bCs/>
          <w:sz w:val="24"/>
          <w:szCs w:val="24"/>
        </w:rPr>
        <w:lastRenderedPageBreak/>
        <w:t>(</w:t>
      </w:r>
      <w:r w:rsidR="00EA7270" w:rsidRPr="00EF153E">
        <w:rPr>
          <w:rFonts w:ascii="Times New Roman" w:hAnsi="Times New Roman" w:cs="Times New Roman"/>
          <w:b/>
          <w:bCs/>
          <w:sz w:val="24"/>
          <w:szCs w:val="24"/>
        </w:rPr>
        <w:t>B</w:t>
      </w:r>
      <w:r w:rsidRPr="00EF153E">
        <w:rPr>
          <w:rFonts w:ascii="Times New Roman" w:hAnsi="Times New Roman" w:cs="Times New Roman"/>
          <w:b/>
          <w:bCs/>
          <w:sz w:val="24"/>
          <w:szCs w:val="24"/>
        </w:rPr>
        <w:t>)</w:t>
      </w:r>
      <w:r w:rsidR="00EA7270" w:rsidRPr="00EF153E">
        <w:rPr>
          <w:rFonts w:ascii="Times New Roman" w:hAnsi="Times New Roman" w:cs="Times New Roman"/>
          <w:b/>
          <w:bCs/>
          <w:sz w:val="24"/>
          <w:szCs w:val="24"/>
        </w:rPr>
        <w:tab/>
        <w:t>Reserve Funds not bearing Interest:</w:t>
      </w:r>
    </w:p>
    <w:p w14:paraId="70E706BB" w14:textId="34C36527" w:rsidR="00484A16" w:rsidRDefault="00EA7270" w:rsidP="006F4E57">
      <w:pPr>
        <w:spacing w:before="240" w:after="120" w:line="288" w:lineRule="auto"/>
        <w:ind w:left="360"/>
        <w:jc w:val="both"/>
        <w:outlineLvl w:val="0"/>
        <w:rPr>
          <w:rFonts w:ascii="Times New Roman" w:hAnsi="Times New Roman" w:cs="Times New Roman"/>
          <w:sz w:val="24"/>
          <w:szCs w:val="24"/>
        </w:rPr>
      </w:pPr>
      <w:r w:rsidRPr="00EF153E">
        <w:rPr>
          <w:rFonts w:ascii="Times New Roman" w:hAnsi="Times New Roman" w:cs="Times New Roman"/>
          <w:b/>
          <w:bCs/>
          <w:sz w:val="24"/>
          <w:szCs w:val="24"/>
        </w:rPr>
        <w:t>(a)</w:t>
      </w:r>
      <w:r w:rsidRPr="00EF153E">
        <w:rPr>
          <w:rFonts w:ascii="Times New Roman" w:hAnsi="Times New Roman" w:cs="Times New Roman"/>
          <w:sz w:val="24"/>
          <w:szCs w:val="24"/>
        </w:rPr>
        <w:tab/>
      </w:r>
      <w:r w:rsidR="00662A7E" w:rsidRPr="00EF153E">
        <w:rPr>
          <w:rFonts w:ascii="Times New Roman" w:hAnsi="Times New Roman" w:cs="Times New Roman"/>
          <w:b/>
          <w:bCs/>
          <w:sz w:val="24"/>
          <w:szCs w:val="24"/>
        </w:rPr>
        <w:t xml:space="preserve">Consolidated Sinking </w:t>
      </w:r>
      <w:r w:rsidR="00F7193B" w:rsidRPr="00EF153E">
        <w:rPr>
          <w:rFonts w:ascii="Times New Roman" w:hAnsi="Times New Roman" w:cs="Times New Roman"/>
          <w:b/>
          <w:bCs/>
          <w:sz w:val="24"/>
          <w:szCs w:val="24"/>
        </w:rPr>
        <w:t>Fund</w:t>
      </w:r>
      <w:r w:rsidR="00F7193B">
        <w:rPr>
          <w:rFonts w:ascii="Times New Roman" w:hAnsi="Times New Roman" w:cs="Times New Roman"/>
          <w:b/>
          <w:bCs/>
          <w:sz w:val="24"/>
          <w:szCs w:val="24"/>
        </w:rPr>
        <w:t>:</w:t>
      </w:r>
      <w:r w:rsidR="00023776">
        <w:rPr>
          <w:rFonts w:ascii="Times New Roman" w:hAnsi="Times New Roman" w:cs="Times New Roman"/>
          <w:b/>
          <w:bCs/>
          <w:sz w:val="24"/>
          <w:szCs w:val="24"/>
        </w:rPr>
        <w:t xml:space="preserve"> </w:t>
      </w:r>
      <w:r w:rsidR="00172B9D" w:rsidRPr="00EF153E">
        <w:rPr>
          <w:rFonts w:ascii="Times New Roman" w:hAnsi="Times New Roman" w:cs="Times New Roman"/>
          <w:sz w:val="24"/>
          <w:szCs w:val="24"/>
        </w:rPr>
        <w:t xml:space="preserve">The Government of </w:t>
      </w:r>
      <w:r w:rsidR="005B60D5" w:rsidRPr="00EF153E">
        <w:rPr>
          <w:rFonts w:ascii="Times New Roman" w:hAnsi="Times New Roman" w:cs="Times New Roman"/>
          <w:sz w:val="24"/>
          <w:szCs w:val="24"/>
        </w:rPr>
        <w:t>Manipur</w:t>
      </w:r>
      <w:r w:rsidR="00172B9D" w:rsidRPr="00EF153E">
        <w:rPr>
          <w:rFonts w:ascii="Times New Roman" w:hAnsi="Times New Roman" w:cs="Times New Roman"/>
          <w:sz w:val="24"/>
          <w:szCs w:val="24"/>
        </w:rPr>
        <w:t xml:space="preserve"> set up the Consolidated Sinking Fund for amortization of loans in </w:t>
      </w:r>
      <w:r w:rsidR="005B60D5" w:rsidRPr="00EF153E">
        <w:rPr>
          <w:rFonts w:ascii="Times New Roman" w:hAnsi="Times New Roman" w:cs="Times New Roman"/>
          <w:sz w:val="24"/>
          <w:szCs w:val="24"/>
        </w:rPr>
        <w:t>2008-09</w:t>
      </w:r>
      <w:r w:rsidR="00172B9D" w:rsidRPr="00EF153E">
        <w:rPr>
          <w:rFonts w:ascii="Times New Roman" w:hAnsi="Times New Roman" w:cs="Times New Roman"/>
          <w:sz w:val="24"/>
          <w:szCs w:val="24"/>
        </w:rPr>
        <w:t xml:space="preserve">. According to the guidelines of the Fund, States may contribute a minimum of </w:t>
      </w:r>
      <w:r w:rsidR="005B60D5" w:rsidRPr="00EF153E">
        <w:rPr>
          <w:rFonts w:ascii="Times New Roman" w:hAnsi="Times New Roman" w:cs="Times New Roman"/>
          <w:sz w:val="24"/>
          <w:szCs w:val="24"/>
        </w:rPr>
        <w:t xml:space="preserve">0.5 </w:t>
      </w:r>
      <w:r w:rsidR="00172B9D" w:rsidRPr="00023776">
        <w:rPr>
          <w:rFonts w:ascii="Times New Roman" w:hAnsi="Times New Roman" w:cs="Times New Roman"/>
          <w:i/>
          <w:sz w:val="24"/>
          <w:szCs w:val="24"/>
        </w:rPr>
        <w:t>per cent</w:t>
      </w:r>
      <w:r w:rsidR="00172B9D" w:rsidRPr="00EF153E">
        <w:rPr>
          <w:rFonts w:ascii="Times New Roman" w:hAnsi="Times New Roman" w:cs="Times New Roman"/>
          <w:sz w:val="24"/>
          <w:szCs w:val="24"/>
        </w:rPr>
        <w:t xml:space="preserve"> of their outstanding liabilities (internal debt + public account) as at the end of the previous year to the Consolidated Sinking Fund. </w:t>
      </w:r>
    </w:p>
    <w:p w14:paraId="69FA2825" w14:textId="4D5C8F76" w:rsidR="00F04EAF" w:rsidRPr="00EF153E" w:rsidRDefault="00172B9D" w:rsidP="006F4E57">
      <w:pPr>
        <w:spacing w:before="120" w:after="120" w:line="288" w:lineRule="auto"/>
        <w:ind w:left="360"/>
        <w:jc w:val="both"/>
        <w:outlineLvl w:val="0"/>
        <w:rPr>
          <w:rFonts w:ascii="Times New Roman" w:hAnsi="Times New Roman" w:cs="Times New Roman"/>
          <w:sz w:val="24"/>
          <w:szCs w:val="24"/>
        </w:rPr>
      </w:pPr>
      <w:r w:rsidRPr="00EF153E">
        <w:rPr>
          <w:rFonts w:ascii="Times New Roman" w:hAnsi="Times New Roman" w:cs="Times New Roman"/>
          <w:sz w:val="24"/>
          <w:szCs w:val="24"/>
        </w:rPr>
        <w:t>In the year</w:t>
      </w:r>
      <w:r w:rsidR="005B60D5" w:rsidRPr="00EF153E">
        <w:rPr>
          <w:rFonts w:ascii="Times New Roman" w:hAnsi="Times New Roman" w:cs="Times New Roman"/>
          <w:sz w:val="24"/>
          <w:szCs w:val="24"/>
        </w:rPr>
        <w:t xml:space="preserve"> 202</w:t>
      </w:r>
      <w:r w:rsidR="00074883">
        <w:rPr>
          <w:rFonts w:ascii="Times New Roman" w:hAnsi="Times New Roman" w:cs="Times New Roman"/>
          <w:sz w:val="24"/>
          <w:szCs w:val="24"/>
        </w:rPr>
        <w:t>2</w:t>
      </w:r>
      <w:r w:rsidR="005B60D5" w:rsidRPr="00EF153E">
        <w:rPr>
          <w:rFonts w:ascii="Times New Roman" w:hAnsi="Times New Roman" w:cs="Times New Roman"/>
          <w:sz w:val="24"/>
          <w:szCs w:val="24"/>
        </w:rPr>
        <w:t>-2</w:t>
      </w:r>
      <w:r w:rsidR="00074883">
        <w:rPr>
          <w:rFonts w:ascii="Times New Roman" w:hAnsi="Times New Roman" w:cs="Times New Roman"/>
          <w:sz w:val="24"/>
          <w:szCs w:val="24"/>
        </w:rPr>
        <w:t>3</w:t>
      </w:r>
      <w:r w:rsidR="00786E47" w:rsidRPr="00EF153E">
        <w:rPr>
          <w:rFonts w:ascii="Times New Roman" w:hAnsi="Times New Roman" w:cs="Times New Roman"/>
          <w:sz w:val="24"/>
          <w:szCs w:val="24"/>
        </w:rPr>
        <w:t xml:space="preserve">, </w:t>
      </w:r>
      <w:r w:rsidRPr="00EF153E">
        <w:rPr>
          <w:rFonts w:ascii="Times New Roman" w:hAnsi="Times New Roman" w:cs="Times New Roman"/>
          <w:sz w:val="24"/>
          <w:szCs w:val="24"/>
        </w:rPr>
        <w:t>Government</w:t>
      </w:r>
      <w:r w:rsidR="005B60D5" w:rsidRPr="00EF153E">
        <w:rPr>
          <w:rFonts w:ascii="Times New Roman" w:hAnsi="Times New Roman" w:cs="Times New Roman"/>
          <w:sz w:val="24"/>
          <w:szCs w:val="24"/>
        </w:rPr>
        <w:t xml:space="preserve"> of</w:t>
      </w:r>
      <w:r w:rsidR="007828D6">
        <w:rPr>
          <w:rFonts w:ascii="Times New Roman" w:hAnsi="Times New Roman" w:cs="Times New Roman"/>
          <w:sz w:val="24"/>
          <w:szCs w:val="24"/>
        </w:rPr>
        <w:t xml:space="preserve"> </w:t>
      </w:r>
      <w:r w:rsidR="005B60D5" w:rsidRPr="00EF153E">
        <w:rPr>
          <w:rFonts w:ascii="Times New Roman" w:hAnsi="Times New Roman" w:cs="Times New Roman"/>
          <w:sz w:val="24"/>
          <w:szCs w:val="24"/>
        </w:rPr>
        <w:t>Manipur</w:t>
      </w:r>
      <w:r w:rsidRPr="00EF153E">
        <w:rPr>
          <w:rFonts w:ascii="Times New Roman" w:hAnsi="Times New Roman" w:cs="Times New Roman"/>
          <w:sz w:val="24"/>
          <w:szCs w:val="24"/>
        </w:rPr>
        <w:t xml:space="preserve"> </w:t>
      </w:r>
      <w:r w:rsidR="005B60D5" w:rsidRPr="00EF153E">
        <w:rPr>
          <w:rFonts w:ascii="Times New Roman" w:hAnsi="Times New Roman" w:cs="Times New Roman"/>
          <w:sz w:val="24"/>
          <w:szCs w:val="24"/>
        </w:rPr>
        <w:t xml:space="preserve">did not </w:t>
      </w:r>
      <w:r w:rsidRPr="00EF153E">
        <w:rPr>
          <w:rFonts w:ascii="Times New Roman" w:hAnsi="Times New Roman" w:cs="Times New Roman"/>
          <w:sz w:val="24"/>
          <w:szCs w:val="24"/>
        </w:rPr>
        <w:t xml:space="preserve">contribute </w:t>
      </w:r>
      <w:r w:rsidR="00A40E1D">
        <w:rPr>
          <w:rFonts w:ascii="Times New Roman" w:hAnsi="Times New Roman" w:cs="Times New Roman"/>
          <w:sz w:val="24"/>
          <w:szCs w:val="24"/>
        </w:rPr>
        <w:t>to the F</w:t>
      </w:r>
      <w:r w:rsidR="005B60D5" w:rsidRPr="00EF153E">
        <w:rPr>
          <w:rFonts w:ascii="Times New Roman" w:hAnsi="Times New Roman" w:cs="Times New Roman"/>
          <w:sz w:val="24"/>
          <w:szCs w:val="24"/>
        </w:rPr>
        <w:t>und</w:t>
      </w:r>
      <w:r w:rsidRPr="00EF153E">
        <w:rPr>
          <w:rFonts w:ascii="Times New Roman" w:hAnsi="Times New Roman" w:cs="Times New Roman"/>
          <w:sz w:val="24"/>
          <w:szCs w:val="24"/>
        </w:rPr>
        <w:t xml:space="preserve"> </w:t>
      </w:r>
      <w:r w:rsidR="00872B73">
        <w:rPr>
          <w:rFonts w:ascii="Times New Roman" w:hAnsi="Times New Roman" w:cs="Times New Roman"/>
          <w:sz w:val="24"/>
          <w:szCs w:val="24"/>
        </w:rPr>
        <w:t xml:space="preserve">as </w:t>
      </w:r>
      <w:r w:rsidRPr="00EF153E">
        <w:rPr>
          <w:rFonts w:ascii="Times New Roman" w:hAnsi="Times New Roman" w:cs="Times New Roman"/>
          <w:sz w:val="24"/>
          <w:szCs w:val="24"/>
        </w:rPr>
        <w:t xml:space="preserve">against </w:t>
      </w:r>
      <w:r w:rsidR="00A10082" w:rsidRPr="00EF153E">
        <w:rPr>
          <w:rFonts w:ascii="Times New Roman" w:hAnsi="Times New Roman" w:cs="Times New Roman"/>
          <w:bCs/>
          <w:sz w:val="24"/>
          <w:szCs w:val="24"/>
        </w:rPr>
        <w:t>₹</w:t>
      </w:r>
      <w:r w:rsidR="00602A2B">
        <w:rPr>
          <w:rFonts w:ascii="Times New Roman" w:hAnsi="Times New Roman" w:cs="Times New Roman"/>
          <w:bCs/>
          <w:sz w:val="24"/>
          <w:szCs w:val="24"/>
        </w:rPr>
        <w:t xml:space="preserve">76.77 </w:t>
      </w:r>
      <w:r w:rsidR="005B60D5" w:rsidRPr="00EF153E">
        <w:rPr>
          <w:rFonts w:ascii="Times New Roman" w:hAnsi="Times New Roman" w:cs="Times New Roman"/>
          <w:bCs/>
          <w:sz w:val="24"/>
          <w:szCs w:val="24"/>
        </w:rPr>
        <w:t xml:space="preserve">crore required </w:t>
      </w:r>
      <w:r w:rsidRPr="00EF153E">
        <w:rPr>
          <w:rFonts w:ascii="Times New Roman" w:hAnsi="Times New Roman" w:cs="Times New Roman"/>
          <w:sz w:val="24"/>
          <w:szCs w:val="24"/>
        </w:rPr>
        <w:t xml:space="preserve">to </w:t>
      </w:r>
      <w:r w:rsidR="00A40E1D">
        <w:rPr>
          <w:rFonts w:ascii="Times New Roman" w:hAnsi="Times New Roman" w:cs="Times New Roman"/>
          <w:sz w:val="24"/>
          <w:szCs w:val="24"/>
        </w:rPr>
        <w:t xml:space="preserve">be </w:t>
      </w:r>
      <w:r w:rsidRPr="00EF153E">
        <w:rPr>
          <w:rFonts w:ascii="Times New Roman" w:hAnsi="Times New Roman" w:cs="Times New Roman"/>
          <w:sz w:val="24"/>
          <w:szCs w:val="24"/>
        </w:rPr>
        <w:t>contribute</w:t>
      </w:r>
      <w:r w:rsidR="00A40E1D">
        <w:rPr>
          <w:rFonts w:ascii="Times New Roman" w:hAnsi="Times New Roman" w:cs="Times New Roman"/>
          <w:sz w:val="24"/>
          <w:szCs w:val="24"/>
        </w:rPr>
        <w:t>d to the F</w:t>
      </w:r>
      <w:r w:rsidRPr="00EF153E">
        <w:rPr>
          <w:rFonts w:ascii="Times New Roman" w:hAnsi="Times New Roman" w:cs="Times New Roman"/>
          <w:sz w:val="24"/>
          <w:szCs w:val="24"/>
        </w:rPr>
        <w:t>und.</w:t>
      </w:r>
      <w:r w:rsidR="00A57E25" w:rsidRPr="00EF153E">
        <w:rPr>
          <w:rFonts w:ascii="Times New Roman" w:hAnsi="Times New Roman" w:cs="Times New Roman"/>
          <w:sz w:val="24"/>
          <w:szCs w:val="24"/>
        </w:rPr>
        <w:t xml:space="preserve"> </w:t>
      </w:r>
      <w:r w:rsidR="00872B73">
        <w:rPr>
          <w:rFonts w:ascii="Times New Roman" w:hAnsi="Times New Roman" w:cs="Times New Roman"/>
          <w:sz w:val="24"/>
          <w:szCs w:val="24"/>
        </w:rPr>
        <w:t>However, during the year 202</w:t>
      </w:r>
      <w:r w:rsidR="00074883">
        <w:rPr>
          <w:rFonts w:ascii="Times New Roman" w:hAnsi="Times New Roman" w:cs="Times New Roman"/>
          <w:sz w:val="24"/>
          <w:szCs w:val="24"/>
        </w:rPr>
        <w:t>2</w:t>
      </w:r>
      <w:r w:rsidR="00EE3BD0">
        <w:rPr>
          <w:rFonts w:ascii="Times New Roman" w:hAnsi="Times New Roman" w:cs="Times New Roman"/>
          <w:sz w:val="24"/>
          <w:szCs w:val="24"/>
        </w:rPr>
        <w:noBreakHyphen/>
      </w:r>
      <w:r w:rsidR="0027288F">
        <w:rPr>
          <w:rFonts w:ascii="Times New Roman" w:hAnsi="Times New Roman" w:cs="Times New Roman"/>
          <w:sz w:val="24"/>
          <w:szCs w:val="24"/>
        </w:rPr>
        <w:t>2</w:t>
      </w:r>
      <w:r w:rsidR="00074883">
        <w:rPr>
          <w:rFonts w:ascii="Times New Roman" w:hAnsi="Times New Roman" w:cs="Times New Roman"/>
          <w:sz w:val="24"/>
          <w:szCs w:val="24"/>
        </w:rPr>
        <w:t>3</w:t>
      </w:r>
      <w:r w:rsidR="0027288F">
        <w:rPr>
          <w:rFonts w:ascii="Times New Roman" w:hAnsi="Times New Roman" w:cs="Times New Roman"/>
          <w:sz w:val="24"/>
          <w:szCs w:val="24"/>
        </w:rPr>
        <w:t>, State Government received ₹</w:t>
      </w:r>
      <w:r w:rsidR="00602A2B">
        <w:rPr>
          <w:rFonts w:ascii="Times New Roman" w:hAnsi="Times New Roman" w:cs="Times New Roman"/>
          <w:sz w:val="24"/>
          <w:szCs w:val="24"/>
        </w:rPr>
        <w:t>168.86</w:t>
      </w:r>
      <w:r w:rsidR="00872B73">
        <w:rPr>
          <w:rFonts w:ascii="Times New Roman" w:hAnsi="Times New Roman" w:cs="Times New Roman"/>
          <w:sz w:val="24"/>
          <w:szCs w:val="24"/>
        </w:rPr>
        <w:t xml:space="preserve"> crore as interest from the R.B.I.</w:t>
      </w:r>
      <w:r w:rsidR="00484A16">
        <w:rPr>
          <w:rFonts w:ascii="Times New Roman" w:hAnsi="Times New Roman" w:cs="Times New Roman"/>
          <w:sz w:val="24"/>
          <w:szCs w:val="24"/>
        </w:rPr>
        <w:t xml:space="preserve"> booked under 8222-101</w:t>
      </w:r>
      <w:r w:rsidR="00DA3659">
        <w:rPr>
          <w:rFonts w:ascii="Times New Roman" w:hAnsi="Times New Roman" w:cs="Times New Roman"/>
          <w:sz w:val="24"/>
          <w:szCs w:val="24"/>
        </w:rPr>
        <w:t xml:space="preserve"> and re-invested in the Fund</w:t>
      </w:r>
      <w:r w:rsidR="00045439">
        <w:rPr>
          <w:rFonts w:ascii="Times New Roman" w:hAnsi="Times New Roman" w:cs="Times New Roman"/>
          <w:sz w:val="24"/>
          <w:szCs w:val="24"/>
        </w:rPr>
        <w:t>.</w:t>
      </w:r>
      <w:r w:rsidR="00872B73">
        <w:rPr>
          <w:rFonts w:ascii="Times New Roman" w:hAnsi="Times New Roman" w:cs="Times New Roman"/>
          <w:sz w:val="24"/>
          <w:szCs w:val="24"/>
        </w:rPr>
        <w:t xml:space="preserve"> </w:t>
      </w:r>
      <w:r w:rsidR="00A57E25" w:rsidRPr="00EF153E">
        <w:rPr>
          <w:rFonts w:ascii="Times New Roman" w:hAnsi="Times New Roman" w:cs="Times New Roman"/>
          <w:sz w:val="24"/>
          <w:szCs w:val="24"/>
        </w:rPr>
        <w:t xml:space="preserve">The total accumulation of the Fund was </w:t>
      </w:r>
      <w:r w:rsidR="00EF153E">
        <w:rPr>
          <w:rFonts w:ascii="Times New Roman" w:hAnsi="Times New Roman" w:cs="Times New Roman"/>
          <w:sz w:val="24"/>
          <w:szCs w:val="24"/>
        </w:rPr>
        <w:t>₹</w:t>
      </w:r>
      <w:r w:rsidR="00602A2B">
        <w:rPr>
          <w:rFonts w:ascii="Times New Roman" w:hAnsi="Times New Roman" w:cs="Times New Roman"/>
          <w:sz w:val="24"/>
          <w:szCs w:val="24"/>
        </w:rPr>
        <w:t>1,221.23</w:t>
      </w:r>
      <w:r w:rsidR="00B33764" w:rsidRPr="00EF153E">
        <w:rPr>
          <w:rFonts w:ascii="Times New Roman" w:hAnsi="Times New Roman" w:cs="Times New Roman"/>
          <w:sz w:val="24"/>
          <w:szCs w:val="24"/>
        </w:rPr>
        <w:t xml:space="preserve"> </w:t>
      </w:r>
      <w:r w:rsidR="00A57E25" w:rsidRPr="00EF153E">
        <w:rPr>
          <w:rFonts w:ascii="Times New Roman" w:hAnsi="Times New Roman" w:cs="Times New Roman"/>
          <w:sz w:val="24"/>
          <w:szCs w:val="24"/>
        </w:rPr>
        <w:t xml:space="preserve">crore as on 31 March </w:t>
      </w:r>
      <w:r w:rsidR="001310A8" w:rsidRPr="00EF153E">
        <w:rPr>
          <w:rFonts w:ascii="Times New Roman" w:hAnsi="Times New Roman" w:cs="Times New Roman"/>
          <w:sz w:val="24"/>
          <w:szCs w:val="24"/>
        </w:rPr>
        <w:t>20</w:t>
      </w:r>
      <w:r w:rsidR="005B60D5" w:rsidRPr="00EF153E">
        <w:rPr>
          <w:rFonts w:ascii="Times New Roman" w:hAnsi="Times New Roman" w:cs="Times New Roman"/>
          <w:sz w:val="24"/>
          <w:szCs w:val="24"/>
        </w:rPr>
        <w:t>2</w:t>
      </w:r>
      <w:r w:rsidR="00074883">
        <w:rPr>
          <w:rFonts w:ascii="Times New Roman" w:hAnsi="Times New Roman" w:cs="Times New Roman"/>
          <w:sz w:val="24"/>
          <w:szCs w:val="24"/>
        </w:rPr>
        <w:t>3</w:t>
      </w:r>
      <w:r w:rsidR="001310A8" w:rsidRPr="00EF153E">
        <w:rPr>
          <w:rFonts w:ascii="Times New Roman" w:hAnsi="Times New Roman" w:cs="Times New Roman"/>
          <w:sz w:val="24"/>
          <w:szCs w:val="24"/>
        </w:rPr>
        <w:t xml:space="preserve"> (</w:t>
      </w:r>
      <w:r w:rsidR="00EF153E">
        <w:rPr>
          <w:rFonts w:ascii="Times New Roman" w:hAnsi="Times New Roman" w:cs="Times New Roman"/>
          <w:sz w:val="24"/>
          <w:szCs w:val="24"/>
        </w:rPr>
        <w:t>₹</w:t>
      </w:r>
      <w:r w:rsidR="00602A2B">
        <w:rPr>
          <w:rFonts w:ascii="Times New Roman" w:hAnsi="Times New Roman" w:cs="Times New Roman"/>
          <w:sz w:val="24"/>
          <w:szCs w:val="24"/>
        </w:rPr>
        <w:t>1,052.37</w:t>
      </w:r>
      <w:r w:rsidR="005B60D5" w:rsidRPr="00EF153E">
        <w:rPr>
          <w:rFonts w:ascii="Times New Roman" w:hAnsi="Times New Roman" w:cs="Times New Roman"/>
          <w:sz w:val="24"/>
          <w:szCs w:val="24"/>
        </w:rPr>
        <w:t xml:space="preserve"> c</w:t>
      </w:r>
      <w:r w:rsidR="001310A8" w:rsidRPr="00EF153E">
        <w:rPr>
          <w:rFonts w:ascii="Times New Roman" w:hAnsi="Times New Roman" w:cs="Times New Roman"/>
          <w:sz w:val="24"/>
          <w:szCs w:val="24"/>
        </w:rPr>
        <w:t>rore as on 31 March 20</w:t>
      </w:r>
      <w:r w:rsidR="005B60D5" w:rsidRPr="00EF153E">
        <w:rPr>
          <w:rFonts w:ascii="Times New Roman" w:hAnsi="Times New Roman" w:cs="Times New Roman"/>
          <w:sz w:val="24"/>
          <w:szCs w:val="24"/>
        </w:rPr>
        <w:t>2</w:t>
      </w:r>
      <w:r w:rsidR="00074883">
        <w:rPr>
          <w:rFonts w:ascii="Times New Roman" w:hAnsi="Times New Roman" w:cs="Times New Roman"/>
          <w:sz w:val="24"/>
          <w:szCs w:val="24"/>
        </w:rPr>
        <w:t>2</w:t>
      </w:r>
      <w:r w:rsidR="001310A8" w:rsidRPr="00EF153E">
        <w:rPr>
          <w:rFonts w:ascii="Times New Roman" w:hAnsi="Times New Roman" w:cs="Times New Roman"/>
          <w:sz w:val="24"/>
          <w:szCs w:val="24"/>
        </w:rPr>
        <w:t>).</w:t>
      </w:r>
      <w:r w:rsidR="0070194C">
        <w:rPr>
          <w:rFonts w:ascii="Times New Roman" w:hAnsi="Times New Roman" w:cs="Times New Roman"/>
          <w:sz w:val="24"/>
          <w:szCs w:val="24"/>
        </w:rPr>
        <w:t xml:space="preserve"> The impact of </w:t>
      </w:r>
      <w:r w:rsidR="00910A0E">
        <w:rPr>
          <w:rFonts w:ascii="Times New Roman" w:hAnsi="Times New Roman" w:cs="Times New Roman"/>
          <w:sz w:val="24"/>
          <w:szCs w:val="24"/>
        </w:rPr>
        <w:t xml:space="preserve">non-contribution of </w:t>
      </w:r>
      <w:r w:rsidR="008E1405" w:rsidRPr="008E1405">
        <w:rPr>
          <w:rFonts w:ascii="Times New Roman" w:hAnsi="Times New Roman" w:cs="Times New Roman"/>
          <w:sz w:val="24"/>
          <w:szCs w:val="24"/>
        </w:rPr>
        <w:t>₹</w:t>
      </w:r>
      <w:r w:rsidR="00602A2B" w:rsidRPr="00602A2B">
        <w:rPr>
          <w:rFonts w:ascii="Times New Roman" w:hAnsi="Times New Roman" w:cs="Times New Roman"/>
          <w:sz w:val="24"/>
          <w:szCs w:val="24"/>
        </w:rPr>
        <w:t>76.77</w:t>
      </w:r>
      <w:r w:rsidR="00A33DDC">
        <w:rPr>
          <w:rFonts w:ascii="Times New Roman" w:hAnsi="Times New Roman" w:cs="Times New Roman"/>
          <w:sz w:val="24"/>
          <w:szCs w:val="24"/>
        </w:rPr>
        <w:t xml:space="preserve"> crore to the F</w:t>
      </w:r>
      <w:r w:rsidR="0070194C">
        <w:rPr>
          <w:rFonts w:ascii="Times New Roman" w:hAnsi="Times New Roman" w:cs="Times New Roman"/>
          <w:sz w:val="24"/>
          <w:szCs w:val="24"/>
        </w:rPr>
        <w:t xml:space="preserve">und resulted </w:t>
      </w:r>
      <w:r w:rsidR="005B7B33">
        <w:rPr>
          <w:rFonts w:ascii="Times New Roman" w:hAnsi="Times New Roman" w:cs="Times New Roman"/>
          <w:sz w:val="24"/>
          <w:szCs w:val="24"/>
        </w:rPr>
        <w:t xml:space="preserve">in </w:t>
      </w:r>
      <w:r w:rsidR="0070194C">
        <w:rPr>
          <w:rFonts w:ascii="Times New Roman" w:hAnsi="Times New Roman" w:cs="Times New Roman"/>
          <w:sz w:val="24"/>
          <w:szCs w:val="24"/>
        </w:rPr>
        <w:t>under</w:t>
      </w:r>
      <w:r w:rsidR="00910A0E">
        <w:rPr>
          <w:rFonts w:ascii="Times New Roman" w:hAnsi="Times New Roman" w:cs="Times New Roman"/>
          <w:sz w:val="24"/>
          <w:szCs w:val="24"/>
        </w:rPr>
        <w:t>sta</w:t>
      </w:r>
      <w:r w:rsidR="00B60EB2">
        <w:rPr>
          <w:rFonts w:ascii="Times New Roman" w:hAnsi="Times New Roman" w:cs="Times New Roman"/>
          <w:sz w:val="24"/>
          <w:szCs w:val="24"/>
        </w:rPr>
        <w:t>tement of Revenue expenditure is</w:t>
      </w:r>
      <w:r w:rsidR="00910A0E">
        <w:rPr>
          <w:rFonts w:ascii="Times New Roman" w:hAnsi="Times New Roman" w:cs="Times New Roman"/>
          <w:sz w:val="24"/>
          <w:szCs w:val="24"/>
        </w:rPr>
        <w:t xml:space="preserve"> given under Para 6.</w:t>
      </w:r>
      <w:r w:rsidR="00890290">
        <w:rPr>
          <w:rFonts w:ascii="Times New Roman" w:hAnsi="Times New Roman" w:cs="Times New Roman"/>
          <w:sz w:val="24"/>
          <w:szCs w:val="24"/>
        </w:rPr>
        <w:t xml:space="preserve"> </w:t>
      </w:r>
    </w:p>
    <w:p w14:paraId="3CE30927" w14:textId="2CAD055C" w:rsidR="00484A16" w:rsidRDefault="00EA7270" w:rsidP="006F4E57">
      <w:pPr>
        <w:spacing w:before="120" w:after="120" w:line="288" w:lineRule="auto"/>
        <w:ind w:left="360"/>
        <w:jc w:val="both"/>
        <w:outlineLvl w:val="0"/>
        <w:rPr>
          <w:rFonts w:ascii="Times New Roman" w:hAnsi="Times New Roman" w:cs="Times New Roman"/>
          <w:sz w:val="24"/>
          <w:szCs w:val="24"/>
        </w:rPr>
      </w:pPr>
      <w:r w:rsidRPr="00EF153E">
        <w:rPr>
          <w:rFonts w:ascii="Times New Roman" w:hAnsi="Times New Roman" w:cs="Times New Roman"/>
          <w:b/>
          <w:bCs/>
          <w:sz w:val="24"/>
          <w:szCs w:val="24"/>
        </w:rPr>
        <w:t>(b)</w:t>
      </w:r>
      <w:r w:rsidRPr="00EF153E">
        <w:rPr>
          <w:rFonts w:ascii="Times New Roman" w:hAnsi="Times New Roman" w:cs="Times New Roman"/>
          <w:b/>
          <w:bCs/>
          <w:sz w:val="24"/>
          <w:szCs w:val="24"/>
        </w:rPr>
        <w:tab/>
        <w:t xml:space="preserve">Guarantee Redemption Fund: </w:t>
      </w:r>
      <w:r w:rsidR="00DB1113" w:rsidRPr="00EF153E">
        <w:rPr>
          <w:rFonts w:ascii="Times New Roman" w:hAnsi="Times New Roman" w:cs="Times New Roman"/>
          <w:sz w:val="24"/>
          <w:szCs w:val="24"/>
        </w:rPr>
        <w:t xml:space="preserve">The State Government constituted the Guarantee Redemption Fund to be administered by </w:t>
      </w:r>
      <w:r w:rsidR="00786E47" w:rsidRPr="00EF153E">
        <w:rPr>
          <w:rFonts w:ascii="Times New Roman" w:hAnsi="Times New Roman" w:cs="Times New Roman"/>
          <w:sz w:val="24"/>
          <w:szCs w:val="24"/>
        </w:rPr>
        <w:t xml:space="preserve">the </w:t>
      </w:r>
      <w:r w:rsidR="00DB1113" w:rsidRPr="00EF153E">
        <w:rPr>
          <w:rFonts w:ascii="Times New Roman" w:hAnsi="Times New Roman" w:cs="Times New Roman"/>
          <w:sz w:val="24"/>
          <w:szCs w:val="24"/>
        </w:rPr>
        <w:t xml:space="preserve">RBI. The latest amendment to the Fund notification issued by the State Government, effective from the year </w:t>
      </w:r>
      <w:r w:rsidR="002E73C7">
        <w:rPr>
          <w:rFonts w:ascii="Times New Roman" w:hAnsi="Times New Roman" w:cs="Times New Roman"/>
          <w:sz w:val="24"/>
          <w:szCs w:val="24"/>
        </w:rPr>
        <w:t>2013-14</w:t>
      </w:r>
      <w:r w:rsidR="00DB1113" w:rsidRPr="00EF153E">
        <w:rPr>
          <w:rFonts w:ascii="Times New Roman" w:hAnsi="Times New Roman" w:cs="Times New Roman"/>
          <w:sz w:val="24"/>
          <w:szCs w:val="24"/>
        </w:rPr>
        <w:t xml:space="preserve">, stipulates that the State Government shall initially contribute a minimum </w:t>
      </w:r>
      <w:r w:rsidR="0033361E">
        <w:rPr>
          <w:rFonts w:ascii="Times New Roman" w:hAnsi="Times New Roman" w:cs="Times New Roman"/>
          <w:sz w:val="24"/>
          <w:szCs w:val="24"/>
        </w:rPr>
        <w:t xml:space="preserve">one </w:t>
      </w:r>
      <w:r w:rsidR="0033361E" w:rsidRPr="00044C25">
        <w:rPr>
          <w:rFonts w:ascii="Times New Roman" w:hAnsi="Times New Roman" w:cs="Times New Roman"/>
          <w:i/>
          <w:sz w:val="24"/>
          <w:szCs w:val="24"/>
        </w:rPr>
        <w:t>per</w:t>
      </w:r>
      <w:r w:rsidR="006F4E57">
        <w:rPr>
          <w:rFonts w:ascii="Times New Roman" w:hAnsi="Times New Roman" w:cs="Times New Roman"/>
          <w:i/>
          <w:sz w:val="24"/>
          <w:szCs w:val="24"/>
        </w:rPr>
        <w:t xml:space="preserve"> </w:t>
      </w:r>
      <w:r w:rsidR="0033361E" w:rsidRPr="00044C25">
        <w:rPr>
          <w:rFonts w:ascii="Times New Roman" w:hAnsi="Times New Roman" w:cs="Times New Roman"/>
          <w:i/>
          <w:sz w:val="24"/>
          <w:szCs w:val="24"/>
        </w:rPr>
        <w:t>cent</w:t>
      </w:r>
      <w:r w:rsidR="0033361E">
        <w:rPr>
          <w:rFonts w:ascii="Times New Roman" w:hAnsi="Times New Roman" w:cs="Times New Roman"/>
          <w:sz w:val="24"/>
          <w:szCs w:val="24"/>
        </w:rPr>
        <w:t xml:space="preserve"> </w:t>
      </w:r>
      <w:r w:rsidR="00644805">
        <w:rPr>
          <w:rFonts w:ascii="Times New Roman" w:hAnsi="Times New Roman" w:cs="Times New Roman"/>
          <w:sz w:val="24"/>
          <w:szCs w:val="24"/>
        </w:rPr>
        <w:t xml:space="preserve">and thereafter at the rate of 0.5 </w:t>
      </w:r>
      <w:r w:rsidR="00644805" w:rsidRPr="006F4E57">
        <w:rPr>
          <w:rFonts w:ascii="Times New Roman" w:hAnsi="Times New Roman" w:cs="Times New Roman"/>
          <w:i/>
          <w:iCs/>
          <w:sz w:val="24"/>
          <w:szCs w:val="24"/>
        </w:rPr>
        <w:t>per cent</w:t>
      </w:r>
      <w:r w:rsidR="00644805">
        <w:rPr>
          <w:rFonts w:ascii="Times New Roman" w:hAnsi="Times New Roman" w:cs="Times New Roman"/>
          <w:sz w:val="24"/>
          <w:szCs w:val="24"/>
        </w:rPr>
        <w:t xml:space="preserve"> of outstanding guarantees at the end of the previous year to achieve a minimum level of 3 </w:t>
      </w:r>
      <w:r w:rsidR="00644805" w:rsidRPr="006F4E57">
        <w:rPr>
          <w:rFonts w:ascii="Times New Roman" w:hAnsi="Times New Roman" w:cs="Times New Roman"/>
          <w:i/>
          <w:iCs/>
          <w:sz w:val="24"/>
          <w:szCs w:val="24"/>
        </w:rPr>
        <w:t>per cent</w:t>
      </w:r>
      <w:r w:rsidR="00644805">
        <w:rPr>
          <w:rFonts w:ascii="Times New Roman" w:hAnsi="Times New Roman" w:cs="Times New Roman"/>
          <w:sz w:val="24"/>
          <w:szCs w:val="24"/>
        </w:rPr>
        <w:t xml:space="preserve"> in next five years. The Fund shall be gradually increased to a desirable level of 5 </w:t>
      </w:r>
      <w:r w:rsidR="00644805" w:rsidRPr="006F4E57">
        <w:rPr>
          <w:rFonts w:ascii="Times New Roman" w:hAnsi="Times New Roman" w:cs="Times New Roman"/>
          <w:i/>
          <w:iCs/>
          <w:sz w:val="24"/>
          <w:szCs w:val="24"/>
        </w:rPr>
        <w:t>per cent</w:t>
      </w:r>
      <w:r w:rsidR="00644805">
        <w:rPr>
          <w:rFonts w:ascii="Times New Roman" w:hAnsi="Times New Roman" w:cs="Times New Roman"/>
          <w:sz w:val="24"/>
          <w:szCs w:val="24"/>
        </w:rPr>
        <w:t xml:space="preserve"> in next five years. </w:t>
      </w:r>
    </w:p>
    <w:p w14:paraId="091F7366" w14:textId="1855EAA3" w:rsidR="00005A95" w:rsidRDefault="003359BC" w:rsidP="004E346E">
      <w:pPr>
        <w:spacing w:before="120" w:after="120" w:line="276" w:lineRule="auto"/>
        <w:ind w:left="360"/>
        <w:jc w:val="both"/>
        <w:outlineLvl w:val="0"/>
        <w:rPr>
          <w:rFonts w:ascii="Times New Roman" w:hAnsi="Times New Roman" w:cs="Times New Roman"/>
          <w:sz w:val="24"/>
          <w:szCs w:val="24"/>
        </w:rPr>
      </w:pPr>
      <w:r>
        <w:rPr>
          <w:rFonts w:ascii="Times New Roman" w:hAnsi="Times New Roman" w:cs="Times New Roman"/>
          <w:sz w:val="24"/>
          <w:szCs w:val="24"/>
        </w:rPr>
        <w:t>D</w:t>
      </w:r>
      <w:r w:rsidR="007677C0">
        <w:rPr>
          <w:rFonts w:ascii="Times New Roman" w:hAnsi="Times New Roman" w:cs="Times New Roman"/>
          <w:sz w:val="24"/>
          <w:szCs w:val="24"/>
        </w:rPr>
        <w:t xml:space="preserve">uring the year 2022-23, State Government received ₹29.04 crore as interest from the RBI booked under Major Head 8235-117. </w:t>
      </w:r>
      <w:r w:rsidR="00005A95" w:rsidRPr="00FD63ED">
        <w:rPr>
          <w:rFonts w:ascii="Times New Roman" w:hAnsi="Times New Roman" w:cs="Times New Roman"/>
          <w:sz w:val="24"/>
          <w:szCs w:val="24"/>
        </w:rPr>
        <w:t xml:space="preserve">The total accumulation of the Fund was </w:t>
      </w:r>
      <w:r w:rsidR="00005A95" w:rsidRPr="004526BC">
        <w:rPr>
          <w:rFonts w:ascii="Times New Roman" w:hAnsi="Times New Roman" w:cs="Times New Roman"/>
          <w:bCs/>
          <w:sz w:val="24"/>
          <w:szCs w:val="24"/>
        </w:rPr>
        <w:t>₹</w:t>
      </w:r>
      <w:r w:rsidR="00005A95">
        <w:rPr>
          <w:rFonts w:ascii="Times New Roman" w:hAnsi="Times New Roman" w:cs="Times New Roman"/>
          <w:sz w:val="24"/>
          <w:szCs w:val="24"/>
        </w:rPr>
        <w:t xml:space="preserve">250.53 </w:t>
      </w:r>
      <w:r w:rsidR="00005A95" w:rsidRPr="00FD63ED">
        <w:rPr>
          <w:rFonts w:ascii="Times New Roman" w:hAnsi="Times New Roman" w:cs="Times New Roman"/>
          <w:sz w:val="24"/>
          <w:szCs w:val="24"/>
        </w:rPr>
        <w:t xml:space="preserve">crore as on 31 March </w:t>
      </w:r>
      <w:r w:rsidR="00005A95">
        <w:rPr>
          <w:rFonts w:ascii="Times New Roman" w:hAnsi="Times New Roman" w:cs="Times New Roman"/>
          <w:sz w:val="24"/>
          <w:szCs w:val="24"/>
        </w:rPr>
        <w:t>2023</w:t>
      </w:r>
      <w:r w:rsidR="006F4E57">
        <w:rPr>
          <w:rFonts w:ascii="Times New Roman" w:hAnsi="Times New Roman" w:cs="Times New Roman"/>
          <w:sz w:val="24"/>
          <w:szCs w:val="24"/>
        </w:rPr>
        <w:t xml:space="preserve"> (₹</w:t>
      </w:r>
      <w:r w:rsidR="00005A95">
        <w:rPr>
          <w:rFonts w:ascii="Times New Roman" w:hAnsi="Times New Roman" w:cs="Times New Roman"/>
          <w:sz w:val="24"/>
          <w:szCs w:val="24"/>
        </w:rPr>
        <w:t>221.49 crore as on 31 March 2022), which constitutes 28.84</w:t>
      </w:r>
      <w:r w:rsidR="006F4E57">
        <w:rPr>
          <w:rFonts w:ascii="Times New Roman" w:hAnsi="Times New Roman" w:cs="Times New Roman"/>
          <w:sz w:val="24"/>
          <w:szCs w:val="24"/>
        </w:rPr>
        <w:t> </w:t>
      </w:r>
      <w:r w:rsidR="00005A95" w:rsidRPr="00F95F3B">
        <w:rPr>
          <w:rFonts w:ascii="Times New Roman" w:hAnsi="Times New Roman" w:cs="Times New Roman"/>
          <w:i/>
          <w:iCs/>
          <w:sz w:val="24"/>
          <w:szCs w:val="24"/>
        </w:rPr>
        <w:t>per cent</w:t>
      </w:r>
      <w:r w:rsidR="00005A95">
        <w:rPr>
          <w:rFonts w:ascii="Times New Roman" w:hAnsi="Times New Roman" w:cs="Times New Roman"/>
          <w:sz w:val="24"/>
          <w:szCs w:val="24"/>
        </w:rPr>
        <w:t xml:space="preserve"> of total outstanding </w:t>
      </w:r>
      <w:r w:rsidR="00CA3A21">
        <w:rPr>
          <w:rFonts w:ascii="Times New Roman" w:hAnsi="Times New Roman" w:cs="Times New Roman"/>
          <w:sz w:val="24"/>
          <w:szCs w:val="24"/>
        </w:rPr>
        <w:t>guarantees</w:t>
      </w:r>
      <w:r w:rsidR="00005A95">
        <w:rPr>
          <w:rFonts w:ascii="Times New Roman" w:hAnsi="Times New Roman" w:cs="Times New Roman"/>
          <w:sz w:val="24"/>
          <w:szCs w:val="24"/>
        </w:rPr>
        <w:t xml:space="preserve">, which is above the </w:t>
      </w:r>
      <w:r w:rsidR="00A5325A">
        <w:rPr>
          <w:rFonts w:ascii="Times New Roman" w:hAnsi="Times New Roman" w:cs="Times New Roman"/>
          <w:sz w:val="24"/>
          <w:szCs w:val="24"/>
        </w:rPr>
        <w:t>desirable level of</w:t>
      </w:r>
      <w:r w:rsidR="00005A95">
        <w:rPr>
          <w:rFonts w:ascii="Times New Roman" w:hAnsi="Times New Roman" w:cs="Times New Roman"/>
          <w:sz w:val="24"/>
          <w:szCs w:val="24"/>
        </w:rPr>
        <w:t xml:space="preserve"> 5 </w:t>
      </w:r>
      <w:r w:rsidR="00005A95">
        <w:rPr>
          <w:rFonts w:ascii="Times New Roman" w:hAnsi="Times New Roman" w:cs="Times New Roman"/>
          <w:i/>
          <w:sz w:val="24"/>
          <w:szCs w:val="24"/>
        </w:rPr>
        <w:t>per cent</w:t>
      </w:r>
      <w:r w:rsidR="00005A95">
        <w:rPr>
          <w:rFonts w:ascii="Times New Roman" w:hAnsi="Times New Roman" w:cs="Times New Roman"/>
          <w:sz w:val="24"/>
          <w:szCs w:val="24"/>
        </w:rPr>
        <w:t>.</w:t>
      </w:r>
    </w:p>
    <w:p w14:paraId="5C38E1BB" w14:textId="77777777" w:rsidR="00644805" w:rsidRDefault="00644805" w:rsidP="004E346E">
      <w:pPr>
        <w:spacing w:before="120" w:after="120" w:line="288" w:lineRule="auto"/>
        <w:ind w:left="360"/>
        <w:jc w:val="both"/>
        <w:outlineLvl w:val="0"/>
        <w:rPr>
          <w:rFonts w:ascii="Times New Roman" w:hAnsi="Times New Roman" w:cs="Times New Roman"/>
          <w:bCs/>
          <w:i/>
          <w:sz w:val="24"/>
          <w:szCs w:val="24"/>
        </w:rPr>
      </w:pPr>
      <w:r w:rsidRPr="00644805">
        <w:rPr>
          <w:rFonts w:ascii="Times New Roman" w:hAnsi="Times New Roman" w:cs="Times New Roman"/>
          <w:bCs/>
          <w:i/>
          <w:sz w:val="24"/>
          <w:szCs w:val="24"/>
        </w:rPr>
        <w:t>Transactions in the Fund are depicted in Statement</w:t>
      </w:r>
      <w:r w:rsidR="00DB36B1">
        <w:rPr>
          <w:rFonts w:ascii="Times New Roman" w:hAnsi="Times New Roman" w:cs="Times New Roman"/>
          <w:bCs/>
          <w:i/>
          <w:sz w:val="24"/>
          <w:szCs w:val="24"/>
        </w:rPr>
        <w:t>s</w:t>
      </w:r>
      <w:r w:rsidRPr="00644805">
        <w:rPr>
          <w:rFonts w:ascii="Times New Roman" w:hAnsi="Times New Roman" w:cs="Times New Roman"/>
          <w:bCs/>
          <w:i/>
          <w:sz w:val="24"/>
          <w:szCs w:val="24"/>
        </w:rPr>
        <w:t xml:space="preserve"> 21 and 22</w:t>
      </w:r>
      <w:r w:rsidR="00F521F1">
        <w:rPr>
          <w:rFonts w:ascii="Times New Roman" w:hAnsi="Times New Roman" w:cs="Times New Roman"/>
          <w:bCs/>
          <w:i/>
          <w:sz w:val="24"/>
          <w:szCs w:val="24"/>
        </w:rPr>
        <w:t xml:space="preserve"> of the Finance Accounts</w:t>
      </w:r>
      <w:r w:rsidRPr="00644805">
        <w:rPr>
          <w:rFonts w:ascii="Times New Roman" w:hAnsi="Times New Roman" w:cs="Times New Roman"/>
          <w:bCs/>
          <w:i/>
          <w:sz w:val="24"/>
          <w:szCs w:val="24"/>
        </w:rPr>
        <w:t>.</w:t>
      </w:r>
    </w:p>
    <w:p w14:paraId="0D38A984" w14:textId="77777777" w:rsidR="00F45AA3" w:rsidRDefault="00F45AA3" w:rsidP="006F52B7">
      <w:pPr>
        <w:spacing w:before="240" w:after="240" w:line="288" w:lineRule="auto"/>
        <w:ind w:left="360"/>
        <w:jc w:val="both"/>
        <w:outlineLvl w:val="0"/>
        <w:rPr>
          <w:rFonts w:ascii="Times New Roman" w:hAnsi="Times New Roman" w:cs="Times New Roman"/>
          <w:bCs/>
          <w:sz w:val="24"/>
          <w:szCs w:val="24"/>
        </w:rPr>
      </w:pPr>
      <w:r w:rsidRPr="00F45AA3">
        <w:rPr>
          <w:rFonts w:ascii="Times New Roman" w:hAnsi="Times New Roman" w:cs="Times New Roman"/>
          <w:b/>
          <w:bCs/>
          <w:sz w:val="24"/>
          <w:szCs w:val="24"/>
        </w:rPr>
        <w:t>(c)</w:t>
      </w:r>
      <w:r>
        <w:rPr>
          <w:rFonts w:ascii="Times New Roman" w:hAnsi="Times New Roman" w:cs="Times New Roman"/>
          <w:bCs/>
          <w:sz w:val="24"/>
          <w:szCs w:val="24"/>
        </w:rPr>
        <w:t xml:space="preserve"> </w:t>
      </w:r>
      <w:r w:rsidRPr="00F45AA3">
        <w:rPr>
          <w:rFonts w:ascii="Times New Roman" w:hAnsi="Times New Roman" w:cs="Times New Roman"/>
          <w:b/>
          <w:bCs/>
          <w:sz w:val="24"/>
          <w:szCs w:val="24"/>
        </w:rPr>
        <w:t>Central Road and Infrastructure Fund (CRIF):</w:t>
      </w:r>
      <w:r>
        <w:rPr>
          <w:rFonts w:ascii="Times New Roman" w:hAnsi="Times New Roman" w:cs="Times New Roman"/>
          <w:b/>
          <w:bCs/>
          <w:sz w:val="24"/>
          <w:szCs w:val="24"/>
        </w:rPr>
        <w:t xml:space="preserve"> </w:t>
      </w:r>
      <w:r>
        <w:rPr>
          <w:rFonts w:ascii="Times New Roman" w:hAnsi="Times New Roman" w:cs="Times New Roman"/>
          <w:bCs/>
          <w:sz w:val="24"/>
          <w:szCs w:val="24"/>
        </w:rPr>
        <w:t>The erstwhile Central Road Fund (CRF) has been renamed as the Central Road and Infrastructure Fund (CRIF) vide GoI’s Gazette notification dated 31-03-2018. The CRIF will be used for development and maintenance of National Highways, Railway projects, improvement of safety in Railways, State and Rural roads and other infrastructure, etc.</w:t>
      </w:r>
    </w:p>
    <w:p w14:paraId="51CBD39E" w14:textId="3F60D514" w:rsidR="00F45AA3" w:rsidRDefault="00AC63C4" w:rsidP="00C46971">
      <w:pPr>
        <w:spacing w:before="240" w:after="240" w:line="288" w:lineRule="auto"/>
        <w:ind w:left="360"/>
        <w:jc w:val="both"/>
        <w:outlineLvl w:val="0"/>
        <w:rPr>
          <w:rFonts w:ascii="Times New Roman" w:hAnsi="Times New Roman" w:cs="Times New Roman"/>
          <w:sz w:val="24"/>
          <w:szCs w:val="24"/>
        </w:rPr>
      </w:pPr>
      <w:r>
        <w:rPr>
          <w:rFonts w:ascii="Times New Roman" w:hAnsi="Times New Roman" w:cs="Times New Roman"/>
          <w:sz w:val="24"/>
          <w:szCs w:val="24"/>
        </w:rPr>
        <w:t xml:space="preserve">In terms of the extant accounting procedure, the grants received by the State from the Centre are to be initially booked as Revenue Receipts under Major Head 1601. Thereafter, the amount so received is to be transferred by the State Government to the Public Account under Major Head </w:t>
      </w:r>
      <w:r w:rsidR="0035622D">
        <w:rPr>
          <w:rFonts w:ascii="Times New Roman" w:hAnsi="Times New Roman" w:cs="Times New Roman"/>
          <w:sz w:val="24"/>
          <w:szCs w:val="24"/>
        </w:rPr>
        <w:t>8449</w:t>
      </w:r>
      <w:r>
        <w:rPr>
          <w:rFonts w:ascii="Times New Roman" w:hAnsi="Times New Roman" w:cs="Times New Roman"/>
          <w:sz w:val="24"/>
          <w:szCs w:val="24"/>
        </w:rPr>
        <w:t>-</w:t>
      </w:r>
      <w:r w:rsidR="00481DF6">
        <w:rPr>
          <w:rFonts w:ascii="Times New Roman" w:hAnsi="Times New Roman" w:cs="Times New Roman"/>
          <w:sz w:val="24"/>
          <w:szCs w:val="24"/>
        </w:rPr>
        <w:t>103</w:t>
      </w:r>
      <w:r>
        <w:rPr>
          <w:rFonts w:ascii="Times New Roman" w:hAnsi="Times New Roman" w:cs="Times New Roman"/>
          <w:sz w:val="24"/>
          <w:szCs w:val="24"/>
        </w:rPr>
        <w:t>-Central Road and Infrastructure Fund through functional Major Head(s).</w:t>
      </w:r>
    </w:p>
    <w:p w14:paraId="5C0004ED" w14:textId="77777777" w:rsidR="00C01957" w:rsidRDefault="00C01957" w:rsidP="00C46971">
      <w:pPr>
        <w:spacing w:before="240" w:after="240" w:line="288" w:lineRule="auto"/>
        <w:ind w:left="360"/>
        <w:jc w:val="both"/>
        <w:outlineLvl w:val="0"/>
        <w:rPr>
          <w:rFonts w:ascii="Times New Roman" w:hAnsi="Times New Roman" w:cs="Times New Roman"/>
          <w:sz w:val="24"/>
          <w:szCs w:val="24"/>
        </w:rPr>
      </w:pPr>
    </w:p>
    <w:p w14:paraId="6C447FDD" w14:textId="060F7CBC" w:rsidR="00DA3659" w:rsidRDefault="00AC63C4" w:rsidP="00A64273">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Pr>
          <w:rFonts w:ascii="Times New Roman" w:hAnsi="Times New Roman" w:cs="Times New Roman"/>
          <w:sz w:val="24"/>
          <w:szCs w:val="24"/>
        </w:rPr>
        <w:lastRenderedPageBreak/>
        <w:t>During the year 202</w:t>
      </w:r>
      <w:r w:rsidR="006C2133">
        <w:rPr>
          <w:rFonts w:ascii="Times New Roman" w:hAnsi="Times New Roman" w:cs="Times New Roman"/>
          <w:sz w:val="24"/>
          <w:szCs w:val="24"/>
        </w:rPr>
        <w:t>2-2</w:t>
      </w:r>
      <w:r>
        <w:rPr>
          <w:rFonts w:ascii="Times New Roman" w:hAnsi="Times New Roman" w:cs="Times New Roman"/>
          <w:sz w:val="24"/>
          <w:szCs w:val="24"/>
        </w:rPr>
        <w:t xml:space="preserve">3, the State Government </w:t>
      </w:r>
      <w:r w:rsidRPr="00A60CC6">
        <w:rPr>
          <w:rFonts w:ascii="Times New Roman" w:hAnsi="Times New Roman" w:cs="Times New Roman"/>
          <w:sz w:val="24"/>
          <w:szCs w:val="24"/>
        </w:rPr>
        <w:t>received grants of ₹</w:t>
      </w:r>
      <w:r w:rsidR="006B0390" w:rsidRPr="00A60CC6">
        <w:rPr>
          <w:rFonts w:ascii="Times New Roman" w:hAnsi="Times New Roman" w:cs="Times New Roman"/>
          <w:sz w:val="24"/>
          <w:szCs w:val="24"/>
        </w:rPr>
        <w:t xml:space="preserve">13.81 </w:t>
      </w:r>
      <w:r w:rsidRPr="00A60CC6">
        <w:rPr>
          <w:rFonts w:ascii="Times New Roman" w:hAnsi="Times New Roman" w:cs="Times New Roman"/>
          <w:sz w:val="24"/>
          <w:szCs w:val="24"/>
        </w:rPr>
        <w:t>crore towards CRIF. The State Government did not transfer ₹</w:t>
      </w:r>
      <w:r w:rsidR="00ED46E2" w:rsidRPr="00A60CC6">
        <w:rPr>
          <w:rFonts w:ascii="Times New Roman" w:hAnsi="Times New Roman" w:cs="Times New Roman"/>
          <w:sz w:val="24"/>
          <w:szCs w:val="24"/>
        </w:rPr>
        <w:t>13.81</w:t>
      </w:r>
      <w:r w:rsidRPr="00A60CC6">
        <w:rPr>
          <w:rFonts w:ascii="Times New Roman" w:hAnsi="Times New Roman" w:cs="Times New Roman"/>
          <w:sz w:val="24"/>
          <w:szCs w:val="24"/>
        </w:rPr>
        <w:t>crore to the Fund in the Public Account as</w:t>
      </w:r>
      <w:r w:rsidR="00F30B85" w:rsidRPr="00A60CC6">
        <w:rPr>
          <w:rFonts w:ascii="Times New Roman" w:hAnsi="Times New Roman" w:cs="Times New Roman"/>
          <w:sz w:val="24"/>
          <w:szCs w:val="24"/>
        </w:rPr>
        <w:t xml:space="preserve"> this Fund has not been created as</w:t>
      </w:r>
      <w:r w:rsidRPr="00A60CC6">
        <w:rPr>
          <w:rFonts w:ascii="Times New Roman" w:hAnsi="Times New Roman" w:cs="Times New Roman"/>
          <w:sz w:val="24"/>
          <w:szCs w:val="24"/>
        </w:rPr>
        <w:t xml:space="preserve"> on 31 March 2023</w:t>
      </w:r>
      <w:r w:rsidR="000B6DFF">
        <w:rPr>
          <w:rFonts w:ascii="Times New Roman" w:hAnsi="Times New Roman" w:cs="Times New Roman"/>
          <w:sz w:val="24"/>
          <w:szCs w:val="24"/>
        </w:rPr>
        <w:t>.</w:t>
      </w:r>
      <w:r w:rsidR="006F4E57">
        <w:rPr>
          <w:rFonts w:ascii="Times New Roman" w:hAnsi="Times New Roman" w:cs="Times New Roman"/>
          <w:sz w:val="24"/>
          <w:szCs w:val="24"/>
        </w:rPr>
        <w:t xml:space="preserve"> </w:t>
      </w:r>
    </w:p>
    <w:p w14:paraId="138223C0" w14:textId="01997A6B" w:rsidR="00AC63C4" w:rsidRDefault="00DA3659" w:rsidP="00DA3659">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Further, as per the Finance Accounts, during 2022-23, the Government of Manipur has incurred expenditure of </w:t>
      </w:r>
      <w:r w:rsidRPr="00A60CC6">
        <w:rPr>
          <w:rFonts w:ascii="Times New Roman" w:hAnsi="Times New Roman" w:cs="Times New Roman"/>
          <w:sz w:val="24"/>
          <w:szCs w:val="24"/>
        </w:rPr>
        <w:t>₹</w:t>
      </w:r>
      <w:r w:rsidR="006F4E57">
        <w:rPr>
          <w:rFonts w:ascii="Times New Roman" w:hAnsi="Times New Roman" w:cs="Times New Roman"/>
          <w:sz w:val="24"/>
          <w:szCs w:val="24"/>
        </w:rPr>
        <w:t>14.76</w:t>
      </w:r>
      <w:r>
        <w:rPr>
          <w:rFonts w:ascii="Times New Roman" w:hAnsi="Times New Roman" w:cs="Times New Roman"/>
          <w:sz w:val="24"/>
          <w:szCs w:val="24"/>
        </w:rPr>
        <w:t xml:space="preserve"> crore under Head of Account Major Head-5054-Capital Outlay on Roads and Bridges-</w:t>
      </w:r>
      <w:r w:rsidRPr="0001318F">
        <w:rPr>
          <w:rFonts w:ascii="Times New Roman" w:hAnsi="Times New Roman" w:cs="Times New Roman"/>
          <w:sz w:val="24"/>
          <w:szCs w:val="24"/>
        </w:rPr>
        <w:t>05- Roads</w:t>
      </w:r>
      <w:r>
        <w:rPr>
          <w:rFonts w:ascii="Times New Roman" w:hAnsi="Times New Roman" w:cs="Times New Roman"/>
          <w:sz w:val="24"/>
          <w:szCs w:val="24"/>
        </w:rPr>
        <w:t xml:space="preserve"> -337- Road Works (Central Road and Infras</w:t>
      </w:r>
      <w:r w:rsidR="000B6DFF">
        <w:rPr>
          <w:rFonts w:ascii="Times New Roman" w:hAnsi="Times New Roman" w:cs="Times New Roman"/>
          <w:sz w:val="24"/>
          <w:szCs w:val="24"/>
        </w:rPr>
        <w:t>tructure Fund) out of the grant which includes ₹13.81 crore out of ₹14.76 crore.</w:t>
      </w:r>
    </w:p>
    <w:p w14:paraId="1662EE69" w14:textId="77777777" w:rsidR="00691CA3" w:rsidRPr="00EF153E" w:rsidRDefault="00B174C4" w:rsidP="004E346E">
      <w:pPr>
        <w:pStyle w:val="ListParagraph"/>
        <w:widowControl w:val="0"/>
        <w:numPr>
          <w:ilvl w:val="0"/>
          <w:numId w:val="21"/>
        </w:numPr>
        <w:autoSpaceDE w:val="0"/>
        <w:autoSpaceDN w:val="0"/>
        <w:adjustRightInd w:val="0"/>
        <w:spacing w:before="160" w:line="288" w:lineRule="auto"/>
        <w:contextualSpacing w:val="0"/>
        <w:jc w:val="both"/>
        <w:rPr>
          <w:rFonts w:ascii="Times New Roman" w:hAnsi="Times New Roman" w:cs="Times New Roman"/>
          <w:sz w:val="24"/>
          <w:szCs w:val="24"/>
        </w:rPr>
      </w:pPr>
      <w:hyperlink r:id="rId21" w:history="1">
        <w:r w:rsidR="00662A7E" w:rsidRPr="00EF153E">
          <w:rPr>
            <w:rStyle w:val="Hyperlink"/>
            <w:rFonts w:ascii="Times New Roman" w:hAnsi="Times New Roman" w:cs="Times New Roman"/>
            <w:b/>
            <w:bCs/>
            <w:color w:val="auto"/>
            <w:sz w:val="24"/>
            <w:szCs w:val="24"/>
            <w:u w:val="none"/>
          </w:rPr>
          <w:t>Suspense and Remittance Balances</w:t>
        </w:r>
      </w:hyperlink>
      <w:r w:rsidR="00EA7270" w:rsidRPr="00EF153E">
        <w:rPr>
          <w:rFonts w:ascii="Times New Roman" w:hAnsi="Times New Roman" w:cs="Times New Roman"/>
          <w:b/>
          <w:bCs/>
          <w:sz w:val="24"/>
          <w:szCs w:val="24"/>
        </w:rPr>
        <w:t>:</w:t>
      </w:r>
    </w:p>
    <w:p w14:paraId="6C60E8D7" w14:textId="77FA092C" w:rsidR="003B3ED3" w:rsidRPr="00EF153E" w:rsidRDefault="00EA7270" w:rsidP="00C46971">
      <w:pPr>
        <w:widowControl w:val="0"/>
        <w:autoSpaceDE w:val="0"/>
        <w:autoSpaceDN w:val="0"/>
        <w:adjustRightInd w:val="0"/>
        <w:spacing w:before="120" w:after="120" w:line="276" w:lineRule="auto"/>
        <w:ind w:left="360"/>
        <w:jc w:val="both"/>
        <w:rPr>
          <w:rFonts w:ascii="Times New Roman" w:hAnsi="Times New Roman" w:cs="Times New Roman"/>
          <w:sz w:val="24"/>
          <w:szCs w:val="24"/>
        </w:rPr>
      </w:pPr>
      <w:r w:rsidRPr="00EF153E">
        <w:rPr>
          <w:rFonts w:ascii="Times New Roman" w:hAnsi="Times New Roman" w:cs="Times New Roman"/>
          <w:sz w:val="24"/>
          <w:szCs w:val="24"/>
        </w:rPr>
        <w:t>The Finance Accounts reflect the net balances under Suspense and Remittance Heads. The outstanding balance under these heads</w:t>
      </w:r>
      <w:r w:rsidR="001C7ED3" w:rsidRPr="00EF153E">
        <w:rPr>
          <w:rFonts w:ascii="Times New Roman" w:hAnsi="Times New Roman" w:cs="Times New Roman"/>
          <w:sz w:val="24"/>
          <w:szCs w:val="24"/>
        </w:rPr>
        <w:t>,</w:t>
      </w:r>
      <w:r w:rsidRPr="00EF153E">
        <w:rPr>
          <w:rFonts w:ascii="Times New Roman" w:hAnsi="Times New Roman" w:cs="Times New Roman"/>
          <w:sz w:val="24"/>
          <w:szCs w:val="24"/>
        </w:rPr>
        <w:t xml:space="preserve"> worked out by aggregating the outstanding debit and credit balances separately under various heads</w:t>
      </w:r>
      <w:r w:rsidR="001C7ED3" w:rsidRPr="00EF153E">
        <w:rPr>
          <w:rFonts w:ascii="Times New Roman" w:hAnsi="Times New Roman" w:cs="Times New Roman"/>
          <w:sz w:val="24"/>
          <w:szCs w:val="24"/>
        </w:rPr>
        <w:t>,</w:t>
      </w:r>
      <w:r w:rsidR="00B57B3D" w:rsidRPr="00EF153E">
        <w:rPr>
          <w:rFonts w:ascii="Times New Roman" w:hAnsi="Times New Roman" w:cs="Times New Roman"/>
          <w:sz w:val="24"/>
          <w:szCs w:val="24"/>
        </w:rPr>
        <w:t xml:space="preserve"> </w:t>
      </w:r>
      <w:r w:rsidR="006A3D44" w:rsidRPr="00EF153E">
        <w:rPr>
          <w:rFonts w:ascii="Times New Roman" w:hAnsi="Times New Roman" w:cs="Times New Roman"/>
          <w:sz w:val="24"/>
          <w:szCs w:val="24"/>
        </w:rPr>
        <w:t xml:space="preserve">was </w:t>
      </w:r>
      <w:r w:rsidR="00A10082" w:rsidRPr="00EF153E">
        <w:rPr>
          <w:rFonts w:ascii="Times New Roman" w:hAnsi="Times New Roman" w:cs="Times New Roman"/>
          <w:bCs/>
          <w:sz w:val="24"/>
          <w:szCs w:val="24"/>
        </w:rPr>
        <w:t>₹</w:t>
      </w:r>
      <w:r w:rsidR="00BF3054">
        <w:rPr>
          <w:rFonts w:ascii="Times New Roman" w:hAnsi="Times New Roman" w:cs="Times New Roman"/>
          <w:bCs/>
          <w:sz w:val="24"/>
          <w:szCs w:val="24"/>
        </w:rPr>
        <w:t>1,0</w:t>
      </w:r>
      <w:r w:rsidR="00AC260F">
        <w:rPr>
          <w:rFonts w:ascii="Times New Roman" w:hAnsi="Times New Roman" w:cs="Times New Roman"/>
          <w:bCs/>
          <w:sz w:val="24"/>
          <w:szCs w:val="24"/>
        </w:rPr>
        <w:t>1</w:t>
      </w:r>
      <w:r w:rsidR="00BF3054">
        <w:rPr>
          <w:rFonts w:ascii="Times New Roman" w:hAnsi="Times New Roman" w:cs="Times New Roman"/>
          <w:bCs/>
          <w:sz w:val="24"/>
          <w:szCs w:val="24"/>
        </w:rPr>
        <w:t>4.</w:t>
      </w:r>
      <w:r w:rsidR="00AC260F">
        <w:rPr>
          <w:rFonts w:ascii="Times New Roman" w:hAnsi="Times New Roman" w:cs="Times New Roman"/>
          <w:bCs/>
          <w:sz w:val="24"/>
          <w:szCs w:val="24"/>
        </w:rPr>
        <w:t>87</w:t>
      </w:r>
      <w:r w:rsidR="00BF3054">
        <w:rPr>
          <w:rFonts w:ascii="Times New Roman" w:hAnsi="Times New Roman" w:cs="Times New Roman"/>
          <w:bCs/>
          <w:sz w:val="24"/>
          <w:szCs w:val="24"/>
        </w:rPr>
        <w:t xml:space="preserve"> </w:t>
      </w:r>
      <w:r w:rsidR="00136FA6">
        <w:rPr>
          <w:rFonts w:ascii="Times New Roman" w:hAnsi="Times New Roman" w:cs="Times New Roman"/>
          <w:sz w:val="24"/>
          <w:szCs w:val="24"/>
        </w:rPr>
        <w:t>(Dr)</w:t>
      </w:r>
      <w:r w:rsidR="00B33764" w:rsidRPr="00EF153E">
        <w:rPr>
          <w:rFonts w:ascii="Times New Roman" w:hAnsi="Times New Roman" w:cs="Times New Roman"/>
          <w:sz w:val="24"/>
          <w:szCs w:val="24"/>
        </w:rPr>
        <w:t xml:space="preserve"> </w:t>
      </w:r>
      <w:r w:rsidR="00B57B3D" w:rsidRPr="00EF153E">
        <w:rPr>
          <w:rFonts w:ascii="Times New Roman" w:hAnsi="Times New Roman" w:cs="Times New Roman"/>
          <w:sz w:val="24"/>
          <w:szCs w:val="24"/>
        </w:rPr>
        <w:t xml:space="preserve">crore under Suspense and Remittance </w:t>
      </w:r>
      <w:r w:rsidR="006A3D44" w:rsidRPr="00EF153E">
        <w:rPr>
          <w:rFonts w:ascii="Times New Roman" w:hAnsi="Times New Roman" w:cs="Times New Roman"/>
          <w:sz w:val="24"/>
          <w:szCs w:val="24"/>
        </w:rPr>
        <w:t>Heads</w:t>
      </w:r>
      <w:r w:rsidR="00B57B3D" w:rsidRPr="00EF153E">
        <w:rPr>
          <w:rFonts w:ascii="Times New Roman" w:hAnsi="Times New Roman" w:cs="Times New Roman"/>
          <w:sz w:val="24"/>
          <w:szCs w:val="24"/>
        </w:rPr>
        <w:t xml:space="preserve"> as on 31 March 202</w:t>
      </w:r>
      <w:r w:rsidR="00BF3054">
        <w:rPr>
          <w:rFonts w:ascii="Times New Roman" w:hAnsi="Times New Roman" w:cs="Times New Roman"/>
          <w:sz w:val="24"/>
          <w:szCs w:val="24"/>
        </w:rPr>
        <w:t>3</w:t>
      </w:r>
      <w:r w:rsidR="001310A8" w:rsidRPr="00EF153E">
        <w:rPr>
          <w:rFonts w:ascii="Times New Roman" w:hAnsi="Times New Roman" w:cs="Times New Roman"/>
          <w:sz w:val="24"/>
          <w:szCs w:val="24"/>
        </w:rPr>
        <w:t xml:space="preserve"> </w:t>
      </w:r>
      <w:r w:rsidR="002F4CA9">
        <w:rPr>
          <w:rFonts w:ascii="Times New Roman" w:hAnsi="Times New Roman" w:cs="Times New Roman"/>
          <w:sz w:val="24"/>
          <w:szCs w:val="24"/>
        </w:rPr>
        <w:t xml:space="preserve">as against </w:t>
      </w:r>
      <w:r w:rsidR="001310A8" w:rsidRPr="00EF153E">
        <w:rPr>
          <w:rFonts w:ascii="Times New Roman" w:hAnsi="Times New Roman" w:cs="Times New Roman"/>
          <w:sz w:val="24"/>
          <w:szCs w:val="24"/>
        </w:rPr>
        <w:t>(</w:t>
      </w:r>
      <w:r w:rsidR="00EF153E">
        <w:rPr>
          <w:rFonts w:ascii="Times New Roman" w:hAnsi="Times New Roman" w:cs="Times New Roman"/>
          <w:sz w:val="24"/>
          <w:szCs w:val="24"/>
        </w:rPr>
        <w:t>₹</w:t>
      </w:r>
      <w:r w:rsidR="00BF3054">
        <w:rPr>
          <w:rFonts w:ascii="Times New Roman" w:hAnsi="Times New Roman" w:cs="Times New Roman"/>
          <w:sz w:val="24"/>
          <w:szCs w:val="24"/>
        </w:rPr>
        <w:t>910.35</w:t>
      </w:r>
      <w:r w:rsidR="00FA7F64">
        <w:rPr>
          <w:rFonts w:ascii="Times New Roman" w:hAnsi="Times New Roman" w:cs="Times New Roman"/>
          <w:sz w:val="24"/>
          <w:szCs w:val="24"/>
        </w:rPr>
        <w:t xml:space="preserve"> (</w:t>
      </w:r>
      <w:r w:rsidR="00136FA6">
        <w:rPr>
          <w:rFonts w:ascii="Times New Roman" w:hAnsi="Times New Roman" w:cs="Times New Roman"/>
          <w:sz w:val="24"/>
          <w:szCs w:val="24"/>
        </w:rPr>
        <w:t>Dr)</w:t>
      </w:r>
      <w:r w:rsidR="00B57B3D" w:rsidRPr="00EF153E">
        <w:rPr>
          <w:rFonts w:ascii="Times New Roman" w:hAnsi="Times New Roman" w:cs="Times New Roman"/>
          <w:sz w:val="24"/>
          <w:szCs w:val="24"/>
        </w:rPr>
        <w:t xml:space="preserve"> crore as on 31 March 202</w:t>
      </w:r>
      <w:r w:rsidR="00BF3054">
        <w:rPr>
          <w:rFonts w:ascii="Times New Roman" w:hAnsi="Times New Roman" w:cs="Times New Roman"/>
          <w:sz w:val="24"/>
          <w:szCs w:val="24"/>
        </w:rPr>
        <w:t>2</w:t>
      </w:r>
      <w:r w:rsidR="001310A8" w:rsidRPr="00EF153E">
        <w:rPr>
          <w:rFonts w:ascii="Times New Roman" w:hAnsi="Times New Roman" w:cs="Times New Roman"/>
          <w:sz w:val="24"/>
          <w:szCs w:val="24"/>
        </w:rPr>
        <w:t>)</w:t>
      </w:r>
      <w:r w:rsidRPr="00EF153E">
        <w:rPr>
          <w:rFonts w:ascii="Times New Roman" w:hAnsi="Times New Roman" w:cs="Times New Roman"/>
          <w:sz w:val="24"/>
          <w:szCs w:val="24"/>
        </w:rPr>
        <w:t xml:space="preserve">. </w:t>
      </w:r>
      <w:r w:rsidR="000B6DFF">
        <w:rPr>
          <w:rFonts w:ascii="Times New Roman" w:hAnsi="Times New Roman" w:cs="Times New Roman"/>
          <w:sz w:val="24"/>
          <w:szCs w:val="24"/>
        </w:rPr>
        <w:t xml:space="preserve"> </w:t>
      </w:r>
      <w:bookmarkStart w:id="2" w:name="_GoBack"/>
      <w:bookmarkEnd w:id="2"/>
    </w:p>
    <w:p w14:paraId="5CD170DF" w14:textId="77777777" w:rsidR="00B3793B" w:rsidRDefault="00EA7270" w:rsidP="00A64273">
      <w:pPr>
        <w:widowControl w:val="0"/>
        <w:autoSpaceDE w:val="0"/>
        <w:autoSpaceDN w:val="0"/>
        <w:adjustRightInd w:val="0"/>
        <w:spacing w:before="120" w:after="120" w:line="288" w:lineRule="auto"/>
        <w:ind w:left="360"/>
        <w:jc w:val="both"/>
        <w:rPr>
          <w:rFonts w:ascii="Times New Roman" w:hAnsi="Times New Roman" w:cs="Times New Roman"/>
          <w:sz w:val="24"/>
          <w:szCs w:val="24"/>
        </w:rPr>
      </w:pPr>
      <w:r w:rsidRPr="00EF153E">
        <w:rPr>
          <w:rFonts w:ascii="Times New Roman" w:hAnsi="Times New Roman" w:cs="Times New Roman"/>
          <w:sz w:val="24"/>
          <w:szCs w:val="24"/>
        </w:rPr>
        <w:t>Non-clearance of outstanding balances under these heads affects the accuracy of receipt/expenditure figures and balances under different heads of Accounts (which are carried forward from year to year) of the State Government.</w:t>
      </w:r>
      <w:r w:rsidR="00A64273" w:rsidRPr="00A64273">
        <w:rPr>
          <w:rFonts w:ascii="Times New Roman" w:hAnsi="Times New Roman" w:cs="Times New Roman"/>
          <w:sz w:val="24"/>
          <w:szCs w:val="24"/>
        </w:rPr>
        <w:t xml:space="preserve"> </w:t>
      </w:r>
    </w:p>
    <w:p w14:paraId="69E40316" w14:textId="77777777" w:rsidR="00691CA3" w:rsidRPr="00EF153E" w:rsidRDefault="00EA7270" w:rsidP="004E346E">
      <w:pPr>
        <w:pStyle w:val="ListParagraph"/>
        <w:widowControl w:val="0"/>
        <w:numPr>
          <w:ilvl w:val="0"/>
          <w:numId w:val="21"/>
        </w:numPr>
        <w:autoSpaceDE w:val="0"/>
        <w:autoSpaceDN w:val="0"/>
        <w:adjustRightInd w:val="0"/>
        <w:spacing w:before="160" w:line="288" w:lineRule="auto"/>
        <w:contextualSpacing w:val="0"/>
        <w:jc w:val="both"/>
        <w:rPr>
          <w:rFonts w:ascii="Times New Roman" w:hAnsi="Times New Roman" w:cs="Times New Roman"/>
          <w:sz w:val="24"/>
          <w:szCs w:val="24"/>
        </w:rPr>
      </w:pPr>
      <w:r w:rsidRPr="00EF153E">
        <w:rPr>
          <w:rStyle w:val="Hyperlink"/>
          <w:rFonts w:ascii="Times New Roman" w:hAnsi="Times New Roman" w:cs="Times New Roman"/>
          <w:b/>
          <w:bCs/>
          <w:color w:val="auto"/>
          <w:sz w:val="24"/>
          <w:szCs w:val="24"/>
          <w:u w:val="none"/>
        </w:rPr>
        <w:t>Cheques</w:t>
      </w:r>
      <w:r w:rsidRPr="00EF153E">
        <w:rPr>
          <w:rFonts w:ascii="Times New Roman" w:hAnsi="Times New Roman" w:cs="Times New Roman"/>
          <w:b/>
          <w:sz w:val="24"/>
          <w:szCs w:val="24"/>
        </w:rPr>
        <w:t xml:space="preserve"> and Bills</w:t>
      </w:r>
      <w:r w:rsidRPr="00EF153E">
        <w:rPr>
          <w:rFonts w:ascii="Times New Roman" w:hAnsi="Times New Roman" w:cs="Times New Roman"/>
          <w:bCs/>
          <w:sz w:val="24"/>
          <w:szCs w:val="24"/>
        </w:rPr>
        <w:t>:</w:t>
      </w:r>
    </w:p>
    <w:p w14:paraId="6B57484B" w14:textId="77777777" w:rsidR="0047638D" w:rsidRPr="00EF153E" w:rsidRDefault="005B60D5" w:rsidP="00C46971">
      <w:pPr>
        <w:widowControl w:val="0"/>
        <w:autoSpaceDE w:val="0"/>
        <w:autoSpaceDN w:val="0"/>
        <w:adjustRightInd w:val="0"/>
        <w:spacing w:before="120" w:after="120" w:line="276" w:lineRule="auto"/>
        <w:ind w:left="360"/>
        <w:jc w:val="both"/>
        <w:rPr>
          <w:rFonts w:ascii="Times New Roman" w:hAnsi="Times New Roman" w:cs="Times New Roman"/>
          <w:sz w:val="24"/>
          <w:szCs w:val="24"/>
        </w:rPr>
      </w:pPr>
      <w:r w:rsidRPr="00EF153E">
        <w:rPr>
          <w:rFonts w:ascii="Times New Roman" w:hAnsi="Times New Roman" w:cs="Times New Roman"/>
          <w:bCs/>
          <w:sz w:val="24"/>
          <w:szCs w:val="24"/>
        </w:rPr>
        <w:t xml:space="preserve">Major Head 8670-Cheques and Bills has been inoperative since 1975-76 with a debit balance of </w:t>
      </w:r>
      <w:r w:rsidR="00913B96" w:rsidRPr="00EF153E">
        <w:rPr>
          <w:rFonts w:ascii="Times New Roman" w:hAnsi="Times New Roman" w:cs="Times New Roman"/>
          <w:bCs/>
          <w:sz w:val="24"/>
          <w:szCs w:val="24"/>
        </w:rPr>
        <w:t>₹</w:t>
      </w:r>
      <w:r w:rsidRPr="00EF153E">
        <w:rPr>
          <w:rFonts w:ascii="Times New Roman" w:hAnsi="Times New Roman" w:cs="Times New Roman"/>
          <w:bCs/>
          <w:sz w:val="24"/>
          <w:szCs w:val="24"/>
        </w:rPr>
        <w:t>0.01 crore.</w:t>
      </w:r>
    </w:p>
    <w:p w14:paraId="0E7D5544" w14:textId="77777777" w:rsidR="00691CA3" w:rsidRPr="00EF153E" w:rsidRDefault="00EA7270" w:rsidP="004E346E">
      <w:pPr>
        <w:pStyle w:val="ListParagraph"/>
        <w:widowControl w:val="0"/>
        <w:numPr>
          <w:ilvl w:val="0"/>
          <w:numId w:val="21"/>
        </w:numPr>
        <w:autoSpaceDE w:val="0"/>
        <w:autoSpaceDN w:val="0"/>
        <w:adjustRightInd w:val="0"/>
        <w:spacing w:before="160" w:line="288" w:lineRule="auto"/>
        <w:contextualSpacing w:val="0"/>
        <w:jc w:val="both"/>
        <w:rPr>
          <w:rFonts w:ascii="Times New Roman" w:hAnsi="Times New Roman" w:cs="Times New Roman"/>
          <w:sz w:val="24"/>
          <w:szCs w:val="24"/>
        </w:rPr>
      </w:pPr>
      <w:r w:rsidRPr="00EF153E">
        <w:rPr>
          <w:rFonts w:ascii="Times New Roman" w:hAnsi="Times New Roman" w:cs="Times New Roman"/>
          <w:b/>
          <w:bCs/>
          <w:sz w:val="24"/>
          <w:szCs w:val="24"/>
        </w:rPr>
        <w:t xml:space="preserve">Building and other Construction Workers Welfare </w:t>
      </w:r>
      <w:r w:rsidR="000B5E14" w:rsidRPr="00EF153E">
        <w:rPr>
          <w:rFonts w:ascii="Times New Roman" w:hAnsi="Times New Roman" w:cs="Times New Roman"/>
          <w:b/>
          <w:bCs/>
          <w:sz w:val="24"/>
          <w:szCs w:val="24"/>
        </w:rPr>
        <w:t>Cess</w:t>
      </w:r>
      <w:r w:rsidR="00484A16">
        <w:rPr>
          <w:rFonts w:ascii="Times New Roman" w:hAnsi="Times New Roman" w:cs="Times New Roman"/>
          <w:b/>
          <w:bCs/>
          <w:sz w:val="24"/>
          <w:szCs w:val="24"/>
        </w:rPr>
        <w:t>:</w:t>
      </w:r>
    </w:p>
    <w:p w14:paraId="793CDA75" w14:textId="77777777" w:rsidR="00FF7FC7" w:rsidRPr="00EF153E" w:rsidRDefault="000B5E14" w:rsidP="004B21DE">
      <w:pPr>
        <w:widowControl w:val="0"/>
        <w:autoSpaceDE w:val="0"/>
        <w:autoSpaceDN w:val="0"/>
        <w:adjustRightInd w:val="0"/>
        <w:spacing w:before="120" w:after="120" w:line="276" w:lineRule="auto"/>
        <w:ind w:left="360"/>
        <w:jc w:val="both"/>
        <w:rPr>
          <w:rFonts w:ascii="Times New Roman" w:hAnsi="Times New Roman" w:cs="Times New Roman"/>
          <w:sz w:val="24"/>
          <w:szCs w:val="24"/>
        </w:rPr>
      </w:pPr>
      <w:r w:rsidRPr="00EF153E">
        <w:rPr>
          <w:rFonts w:ascii="Times New Roman" w:hAnsi="Times New Roman" w:cs="Times New Roman"/>
          <w:sz w:val="24"/>
          <w:szCs w:val="24"/>
        </w:rPr>
        <w:t>The</w:t>
      </w:r>
      <w:r w:rsidR="00EA7270" w:rsidRPr="00EF153E">
        <w:rPr>
          <w:rFonts w:ascii="Times New Roman" w:hAnsi="Times New Roman" w:cs="Times New Roman"/>
          <w:sz w:val="24"/>
          <w:szCs w:val="24"/>
        </w:rPr>
        <w:t xml:space="preserve"> Government of India enacted the Building and Other Construction Workers Welfare Cess Act, 1996 (Cess Act) to levy and collect cess for providing benefits to the workers. </w:t>
      </w:r>
    </w:p>
    <w:p w14:paraId="23CFCFBA" w14:textId="10C8BC97" w:rsidR="00004B45" w:rsidRDefault="00EA7270" w:rsidP="00C01957">
      <w:pPr>
        <w:widowControl w:val="0"/>
        <w:autoSpaceDE w:val="0"/>
        <w:autoSpaceDN w:val="0"/>
        <w:adjustRightInd w:val="0"/>
        <w:spacing w:before="120" w:after="120" w:line="276" w:lineRule="auto"/>
        <w:ind w:left="360"/>
        <w:jc w:val="both"/>
        <w:rPr>
          <w:rFonts w:ascii="Times New Roman" w:hAnsi="Times New Roman" w:cs="Times New Roman"/>
          <w:sz w:val="24"/>
          <w:szCs w:val="24"/>
        </w:rPr>
      </w:pPr>
      <w:r w:rsidRPr="00EF153E">
        <w:rPr>
          <w:rFonts w:ascii="Times New Roman" w:hAnsi="Times New Roman" w:cs="Times New Roman"/>
          <w:sz w:val="24"/>
          <w:szCs w:val="24"/>
        </w:rPr>
        <w:t>During the year</w:t>
      </w:r>
      <w:r w:rsidR="005B60D5" w:rsidRPr="00EF153E">
        <w:rPr>
          <w:rFonts w:ascii="Times New Roman" w:hAnsi="Times New Roman" w:cs="Times New Roman"/>
          <w:sz w:val="24"/>
          <w:szCs w:val="24"/>
        </w:rPr>
        <w:t xml:space="preserve"> 202</w:t>
      </w:r>
      <w:r w:rsidR="003F10B9">
        <w:rPr>
          <w:rFonts w:ascii="Times New Roman" w:hAnsi="Times New Roman" w:cs="Times New Roman"/>
          <w:sz w:val="24"/>
          <w:szCs w:val="24"/>
        </w:rPr>
        <w:t>2</w:t>
      </w:r>
      <w:r w:rsidR="005B60D5" w:rsidRPr="00EF153E">
        <w:rPr>
          <w:rFonts w:ascii="Times New Roman" w:hAnsi="Times New Roman" w:cs="Times New Roman"/>
          <w:sz w:val="24"/>
          <w:szCs w:val="24"/>
        </w:rPr>
        <w:t>-2</w:t>
      </w:r>
      <w:r w:rsidR="003F10B9">
        <w:rPr>
          <w:rFonts w:ascii="Times New Roman" w:hAnsi="Times New Roman" w:cs="Times New Roman"/>
          <w:sz w:val="24"/>
          <w:szCs w:val="24"/>
        </w:rPr>
        <w:t>3</w:t>
      </w:r>
      <w:r w:rsidRPr="00EF153E">
        <w:rPr>
          <w:rFonts w:ascii="Times New Roman" w:hAnsi="Times New Roman" w:cs="Times New Roman"/>
          <w:sz w:val="24"/>
          <w:szCs w:val="24"/>
        </w:rPr>
        <w:t xml:space="preserve">, the Government collected </w:t>
      </w:r>
      <w:r w:rsidR="00EF153E" w:rsidRPr="004B21DE">
        <w:rPr>
          <w:rFonts w:ascii="Times New Roman" w:hAnsi="Times New Roman" w:cs="Times New Roman"/>
          <w:sz w:val="24"/>
          <w:szCs w:val="24"/>
        </w:rPr>
        <w:t>₹</w:t>
      </w:r>
      <w:r w:rsidR="006B0390">
        <w:rPr>
          <w:rFonts w:ascii="Times New Roman" w:hAnsi="Times New Roman" w:cs="Times New Roman"/>
          <w:sz w:val="24"/>
          <w:szCs w:val="24"/>
        </w:rPr>
        <w:t>0.</w:t>
      </w:r>
      <w:r w:rsidR="00245882">
        <w:rPr>
          <w:rFonts w:ascii="Times New Roman" w:hAnsi="Times New Roman" w:cs="Times New Roman"/>
          <w:sz w:val="24"/>
          <w:szCs w:val="24"/>
        </w:rPr>
        <w:t>82</w:t>
      </w:r>
      <w:r w:rsidR="0045688E" w:rsidRPr="00EF153E">
        <w:rPr>
          <w:rFonts w:ascii="Times New Roman" w:hAnsi="Times New Roman" w:cs="Times New Roman"/>
          <w:sz w:val="24"/>
          <w:szCs w:val="24"/>
        </w:rPr>
        <w:t xml:space="preserve"> </w:t>
      </w:r>
      <w:r w:rsidRPr="00EF153E">
        <w:rPr>
          <w:rFonts w:ascii="Times New Roman" w:hAnsi="Times New Roman" w:cs="Times New Roman"/>
          <w:sz w:val="24"/>
          <w:szCs w:val="24"/>
        </w:rPr>
        <w:t xml:space="preserve">crore </w:t>
      </w:r>
      <w:r w:rsidR="00EB7073" w:rsidRPr="004B21DE">
        <w:rPr>
          <w:rFonts w:ascii="Times New Roman" w:hAnsi="Times New Roman" w:cs="Times New Roman"/>
          <w:sz w:val="24"/>
          <w:szCs w:val="24"/>
        </w:rPr>
        <w:t>(202</w:t>
      </w:r>
      <w:r w:rsidR="003F10B9" w:rsidRPr="004B21DE">
        <w:rPr>
          <w:rFonts w:ascii="Times New Roman" w:hAnsi="Times New Roman" w:cs="Times New Roman"/>
          <w:sz w:val="24"/>
          <w:szCs w:val="24"/>
        </w:rPr>
        <w:t>1</w:t>
      </w:r>
      <w:r w:rsidR="00EB7073" w:rsidRPr="004B21DE">
        <w:rPr>
          <w:rFonts w:ascii="Times New Roman" w:hAnsi="Times New Roman" w:cs="Times New Roman"/>
          <w:sz w:val="24"/>
          <w:szCs w:val="24"/>
        </w:rPr>
        <w:t>-2</w:t>
      </w:r>
      <w:r w:rsidR="003F10B9" w:rsidRPr="004B21DE">
        <w:rPr>
          <w:rFonts w:ascii="Times New Roman" w:hAnsi="Times New Roman" w:cs="Times New Roman"/>
          <w:sz w:val="24"/>
          <w:szCs w:val="24"/>
        </w:rPr>
        <w:t>2</w:t>
      </w:r>
      <w:r w:rsidR="00EB7073" w:rsidRPr="004B21DE">
        <w:rPr>
          <w:rFonts w:ascii="Times New Roman" w:hAnsi="Times New Roman" w:cs="Times New Roman"/>
          <w:sz w:val="24"/>
          <w:szCs w:val="24"/>
        </w:rPr>
        <w:t xml:space="preserve">: </w:t>
      </w:r>
      <w:r w:rsidR="00EF153E" w:rsidRPr="004B21DE">
        <w:rPr>
          <w:rFonts w:ascii="Times New Roman" w:hAnsi="Times New Roman" w:cs="Times New Roman"/>
          <w:sz w:val="24"/>
          <w:szCs w:val="24"/>
        </w:rPr>
        <w:t>₹</w:t>
      </w:r>
      <w:r w:rsidR="006B0390" w:rsidRPr="004B21DE">
        <w:rPr>
          <w:rFonts w:ascii="Times New Roman" w:hAnsi="Times New Roman" w:cs="Times New Roman"/>
          <w:sz w:val="24"/>
          <w:szCs w:val="24"/>
        </w:rPr>
        <w:t>0.22</w:t>
      </w:r>
      <w:r w:rsidR="0045688E" w:rsidRPr="004B21DE">
        <w:rPr>
          <w:rFonts w:ascii="Times New Roman" w:hAnsi="Times New Roman" w:cs="Times New Roman"/>
          <w:sz w:val="24"/>
          <w:szCs w:val="24"/>
        </w:rPr>
        <w:t xml:space="preserve"> </w:t>
      </w:r>
      <w:r w:rsidR="00A10082" w:rsidRPr="004B21DE">
        <w:rPr>
          <w:rFonts w:ascii="Times New Roman" w:hAnsi="Times New Roman" w:cs="Times New Roman"/>
          <w:sz w:val="24"/>
          <w:szCs w:val="24"/>
        </w:rPr>
        <w:t>crore</w:t>
      </w:r>
      <w:r w:rsidR="00EB7073" w:rsidRPr="004B21DE">
        <w:rPr>
          <w:rFonts w:ascii="Times New Roman" w:hAnsi="Times New Roman" w:cs="Times New Roman"/>
          <w:sz w:val="24"/>
          <w:szCs w:val="24"/>
        </w:rPr>
        <w:t>)</w:t>
      </w:r>
      <w:r w:rsidR="0045688E" w:rsidRPr="0072227A">
        <w:rPr>
          <w:rFonts w:ascii="Times New Roman" w:hAnsi="Times New Roman" w:cs="Times New Roman"/>
          <w:sz w:val="24"/>
          <w:szCs w:val="24"/>
        </w:rPr>
        <w:t xml:space="preserve"> </w:t>
      </w:r>
      <w:r w:rsidRPr="00EF153E">
        <w:rPr>
          <w:rFonts w:ascii="Times New Roman" w:hAnsi="Times New Roman" w:cs="Times New Roman"/>
          <w:sz w:val="24"/>
          <w:szCs w:val="24"/>
        </w:rPr>
        <w:t>as Labour</w:t>
      </w:r>
      <w:r w:rsidR="007200F7" w:rsidRPr="00EF153E">
        <w:rPr>
          <w:rFonts w:ascii="Times New Roman" w:hAnsi="Times New Roman" w:cs="Times New Roman"/>
          <w:sz w:val="24"/>
          <w:szCs w:val="24"/>
        </w:rPr>
        <w:t xml:space="preserve"> </w:t>
      </w:r>
      <w:r w:rsidRPr="00EF153E">
        <w:rPr>
          <w:rFonts w:ascii="Times New Roman" w:hAnsi="Times New Roman" w:cs="Times New Roman"/>
          <w:sz w:val="24"/>
          <w:szCs w:val="24"/>
        </w:rPr>
        <w:t xml:space="preserve">Cess under Major Head </w:t>
      </w:r>
      <w:r w:rsidR="0045688E" w:rsidRPr="00EF153E">
        <w:rPr>
          <w:rFonts w:ascii="Times New Roman" w:hAnsi="Times New Roman" w:cs="Times New Roman"/>
          <w:sz w:val="24"/>
          <w:szCs w:val="24"/>
        </w:rPr>
        <w:t xml:space="preserve">0045/112 </w:t>
      </w:r>
      <w:r w:rsidRPr="00EF153E">
        <w:rPr>
          <w:rFonts w:ascii="Times New Roman" w:hAnsi="Times New Roman" w:cs="Times New Roman"/>
          <w:sz w:val="24"/>
          <w:szCs w:val="24"/>
        </w:rPr>
        <w:t xml:space="preserve">and </w:t>
      </w:r>
      <w:r w:rsidR="00DA5C6B">
        <w:rPr>
          <w:rFonts w:ascii="Times New Roman" w:hAnsi="Times New Roman" w:cs="Times New Roman"/>
          <w:sz w:val="24"/>
          <w:szCs w:val="24"/>
        </w:rPr>
        <w:t>no amount</w:t>
      </w:r>
      <w:r w:rsidR="00FA7F64">
        <w:rPr>
          <w:rFonts w:ascii="Times New Roman" w:hAnsi="Times New Roman" w:cs="Times New Roman"/>
          <w:sz w:val="24"/>
          <w:szCs w:val="24"/>
        </w:rPr>
        <w:t xml:space="preserve"> was</w:t>
      </w:r>
      <w:r w:rsidR="00DA5C6B">
        <w:rPr>
          <w:rFonts w:ascii="Times New Roman" w:hAnsi="Times New Roman" w:cs="Times New Roman"/>
          <w:sz w:val="24"/>
          <w:szCs w:val="24"/>
        </w:rPr>
        <w:t xml:space="preserve"> </w:t>
      </w:r>
      <w:r w:rsidRPr="00EF153E">
        <w:rPr>
          <w:rFonts w:ascii="Times New Roman" w:hAnsi="Times New Roman" w:cs="Times New Roman"/>
          <w:sz w:val="24"/>
          <w:szCs w:val="24"/>
        </w:rPr>
        <w:t xml:space="preserve">transferred </w:t>
      </w:r>
      <w:r w:rsidR="00EB7073" w:rsidRPr="004B21DE">
        <w:rPr>
          <w:rFonts w:ascii="Times New Roman" w:hAnsi="Times New Roman" w:cs="Times New Roman"/>
          <w:sz w:val="24"/>
          <w:szCs w:val="24"/>
        </w:rPr>
        <w:t>(202</w:t>
      </w:r>
      <w:r w:rsidR="003F10B9" w:rsidRPr="004B21DE">
        <w:rPr>
          <w:rFonts w:ascii="Times New Roman" w:hAnsi="Times New Roman" w:cs="Times New Roman"/>
          <w:sz w:val="24"/>
          <w:szCs w:val="24"/>
        </w:rPr>
        <w:t>1</w:t>
      </w:r>
      <w:r w:rsidR="00EB7073" w:rsidRPr="004B21DE">
        <w:rPr>
          <w:rFonts w:ascii="Times New Roman" w:hAnsi="Times New Roman" w:cs="Times New Roman"/>
          <w:sz w:val="24"/>
          <w:szCs w:val="24"/>
        </w:rPr>
        <w:t>-2</w:t>
      </w:r>
      <w:r w:rsidR="003F10B9" w:rsidRPr="004B21DE">
        <w:rPr>
          <w:rFonts w:ascii="Times New Roman" w:hAnsi="Times New Roman" w:cs="Times New Roman"/>
          <w:sz w:val="24"/>
          <w:szCs w:val="24"/>
        </w:rPr>
        <w:t>2</w:t>
      </w:r>
      <w:r w:rsidR="00DA5C6B" w:rsidRPr="004B21DE">
        <w:rPr>
          <w:rFonts w:ascii="Times New Roman" w:hAnsi="Times New Roman" w:cs="Times New Roman"/>
          <w:sz w:val="24"/>
          <w:szCs w:val="24"/>
        </w:rPr>
        <w:t>: Nil</w:t>
      </w:r>
      <w:r w:rsidR="00EB7073" w:rsidRPr="004B21DE">
        <w:rPr>
          <w:rFonts w:ascii="Times New Roman" w:hAnsi="Times New Roman" w:cs="Times New Roman"/>
          <w:sz w:val="24"/>
          <w:szCs w:val="24"/>
        </w:rPr>
        <w:t>)</w:t>
      </w:r>
      <w:r w:rsidR="00913B96" w:rsidRPr="004B21DE">
        <w:rPr>
          <w:rFonts w:ascii="Times New Roman" w:hAnsi="Times New Roman" w:cs="Times New Roman"/>
          <w:sz w:val="24"/>
          <w:szCs w:val="24"/>
        </w:rPr>
        <w:t xml:space="preserve"> </w:t>
      </w:r>
      <w:r w:rsidRPr="00EF153E">
        <w:rPr>
          <w:rFonts w:ascii="Times New Roman" w:hAnsi="Times New Roman" w:cs="Times New Roman"/>
          <w:sz w:val="24"/>
          <w:szCs w:val="24"/>
        </w:rPr>
        <w:t xml:space="preserve">to the Building and Other Construction Workers Welfare Board. </w:t>
      </w:r>
      <w:r w:rsidR="009F2260">
        <w:rPr>
          <w:rFonts w:ascii="Times New Roman" w:hAnsi="Times New Roman" w:cs="Times New Roman"/>
          <w:sz w:val="24"/>
          <w:szCs w:val="24"/>
        </w:rPr>
        <w:t>T</w:t>
      </w:r>
      <w:r w:rsidRPr="00EF153E">
        <w:rPr>
          <w:rFonts w:ascii="Times New Roman" w:hAnsi="Times New Roman" w:cs="Times New Roman"/>
          <w:sz w:val="24"/>
          <w:szCs w:val="24"/>
        </w:rPr>
        <w:t>he un</w:t>
      </w:r>
      <w:r w:rsidR="00EE3BD0">
        <w:rPr>
          <w:rFonts w:ascii="Times New Roman" w:hAnsi="Times New Roman" w:cs="Times New Roman"/>
          <w:sz w:val="24"/>
          <w:szCs w:val="24"/>
        </w:rPr>
        <w:noBreakHyphen/>
      </w:r>
      <w:r w:rsidRPr="00EF153E">
        <w:rPr>
          <w:rFonts w:ascii="Times New Roman" w:hAnsi="Times New Roman" w:cs="Times New Roman"/>
          <w:sz w:val="24"/>
          <w:szCs w:val="24"/>
        </w:rPr>
        <w:t xml:space="preserve">transferred amount </w:t>
      </w:r>
      <w:r w:rsidR="00C90DEC" w:rsidRPr="00EF153E">
        <w:rPr>
          <w:rFonts w:ascii="Times New Roman" w:hAnsi="Times New Roman" w:cs="Times New Roman"/>
          <w:sz w:val="24"/>
          <w:szCs w:val="24"/>
        </w:rPr>
        <w:t>from</w:t>
      </w:r>
      <w:r w:rsidR="007200F7" w:rsidRPr="00EF153E">
        <w:rPr>
          <w:rFonts w:ascii="Times New Roman" w:hAnsi="Times New Roman" w:cs="Times New Roman"/>
          <w:sz w:val="24"/>
          <w:szCs w:val="24"/>
        </w:rPr>
        <w:t xml:space="preserve"> </w:t>
      </w:r>
      <w:r w:rsidRPr="00EF153E">
        <w:rPr>
          <w:rFonts w:ascii="Times New Roman" w:hAnsi="Times New Roman" w:cs="Times New Roman"/>
          <w:sz w:val="24"/>
          <w:szCs w:val="24"/>
        </w:rPr>
        <w:t xml:space="preserve">the Major </w:t>
      </w:r>
      <w:r w:rsidR="00481DF6" w:rsidRPr="00EF153E">
        <w:rPr>
          <w:rFonts w:ascii="Times New Roman" w:hAnsi="Times New Roman" w:cs="Times New Roman"/>
          <w:sz w:val="24"/>
          <w:szCs w:val="24"/>
        </w:rPr>
        <w:t>Head</w:t>
      </w:r>
      <w:r w:rsidRPr="00EF153E">
        <w:rPr>
          <w:rFonts w:ascii="Times New Roman" w:hAnsi="Times New Roman" w:cs="Times New Roman"/>
          <w:sz w:val="24"/>
          <w:szCs w:val="24"/>
        </w:rPr>
        <w:t xml:space="preserve"> </w:t>
      </w:r>
      <w:r w:rsidR="0045688E" w:rsidRPr="00EF153E">
        <w:rPr>
          <w:rFonts w:ascii="Times New Roman" w:hAnsi="Times New Roman" w:cs="Times New Roman"/>
          <w:sz w:val="24"/>
          <w:szCs w:val="24"/>
        </w:rPr>
        <w:t xml:space="preserve">0045/112 </w:t>
      </w:r>
      <w:r w:rsidRPr="00EF153E">
        <w:rPr>
          <w:rFonts w:ascii="Times New Roman" w:hAnsi="Times New Roman" w:cs="Times New Roman"/>
          <w:sz w:val="24"/>
          <w:szCs w:val="24"/>
        </w:rPr>
        <w:t xml:space="preserve">was </w:t>
      </w:r>
      <w:r w:rsidR="00EF153E" w:rsidRPr="004B21DE">
        <w:rPr>
          <w:rFonts w:ascii="Times New Roman" w:hAnsi="Times New Roman" w:cs="Times New Roman"/>
          <w:sz w:val="24"/>
          <w:szCs w:val="24"/>
        </w:rPr>
        <w:t>₹</w:t>
      </w:r>
      <w:r w:rsidR="00245882">
        <w:rPr>
          <w:rFonts w:ascii="Times New Roman" w:hAnsi="Times New Roman" w:cs="Times New Roman"/>
          <w:sz w:val="24"/>
          <w:szCs w:val="24"/>
        </w:rPr>
        <w:t>39.39</w:t>
      </w:r>
      <w:r w:rsidR="0045688E" w:rsidRPr="00EF153E">
        <w:rPr>
          <w:rFonts w:ascii="Times New Roman" w:hAnsi="Times New Roman" w:cs="Times New Roman"/>
          <w:sz w:val="24"/>
          <w:szCs w:val="24"/>
        </w:rPr>
        <w:t xml:space="preserve"> </w:t>
      </w:r>
      <w:r w:rsidRPr="00EF153E">
        <w:rPr>
          <w:rFonts w:ascii="Times New Roman" w:hAnsi="Times New Roman" w:cs="Times New Roman"/>
          <w:sz w:val="24"/>
          <w:szCs w:val="24"/>
        </w:rPr>
        <w:t>crore as on 31</w:t>
      </w:r>
      <w:r w:rsidR="00EE3BD0">
        <w:rPr>
          <w:rFonts w:ascii="Times New Roman" w:hAnsi="Times New Roman" w:cs="Times New Roman"/>
          <w:sz w:val="24"/>
          <w:szCs w:val="24"/>
        </w:rPr>
        <w:t> </w:t>
      </w:r>
      <w:r w:rsidRPr="00EF153E">
        <w:rPr>
          <w:rFonts w:ascii="Times New Roman" w:hAnsi="Times New Roman" w:cs="Times New Roman"/>
          <w:sz w:val="24"/>
          <w:szCs w:val="24"/>
        </w:rPr>
        <w:t xml:space="preserve">March </w:t>
      </w:r>
      <w:r w:rsidR="00D5549A" w:rsidRPr="00EF153E">
        <w:rPr>
          <w:rFonts w:ascii="Times New Roman" w:hAnsi="Times New Roman" w:cs="Times New Roman"/>
          <w:sz w:val="24"/>
          <w:szCs w:val="24"/>
        </w:rPr>
        <w:t>20</w:t>
      </w:r>
      <w:r w:rsidR="0045688E" w:rsidRPr="00EF153E">
        <w:rPr>
          <w:rFonts w:ascii="Times New Roman" w:hAnsi="Times New Roman" w:cs="Times New Roman"/>
          <w:sz w:val="24"/>
          <w:szCs w:val="24"/>
        </w:rPr>
        <w:t>2</w:t>
      </w:r>
      <w:r w:rsidR="00883D09">
        <w:rPr>
          <w:rFonts w:ascii="Times New Roman" w:hAnsi="Times New Roman" w:cs="Times New Roman"/>
          <w:sz w:val="24"/>
          <w:szCs w:val="24"/>
        </w:rPr>
        <w:t>3</w:t>
      </w:r>
      <w:r w:rsidR="00D5549A" w:rsidRPr="00EF153E">
        <w:rPr>
          <w:rFonts w:ascii="Times New Roman" w:hAnsi="Times New Roman" w:cs="Times New Roman"/>
          <w:sz w:val="24"/>
          <w:szCs w:val="24"/>
        </w:rPr>
        <w:t xml:space="preserve"> </w:t>
      </w:r>
      <w:r w:rsidR="0045688E" w:rsidRPr="00EF153E">
        <w:rPr>
          <w:rFonts w:ascii="Times New Roman" w:hAnsi="Times New Roman" w:cs="Times New Roman"/>
          <w:sz w:val="24"/>
          <w:szCs w:val="24"/>
        </w:rPr>
        <w:t xml:space="preserve">which included un-transferred balance of previous years </w:t>
      </w:r>
      <w:r w:rsidR="00913B96" w:rsidRPr="00EF153E">
        <w:rPr>
          <w:rFonts w:ascii="Times New Roman" w:hAnsi="Times New Roman" w:cs="Times New Roman"/>
          <w:sz w:val="24"/>
          <w:szCs w:val="24"/>
        </w:rPr>
        <w:t>₹</w:t>
      </w:r>
      <w:r w:rsidR="00245882">
        <w:rPr>
          <w:rFonts w:ascii="Times New Roman" w:hAnsi="Times New Roman" w:cs="Times New Roman"/>
          <w:sz w:val="24"/>
          <w:szCs w:val="24"/>
        </w:rPr>
        <w:t>38.57</w:t>
      </w:r>
      <w:r w:rsidR="0045688E" w:rsidRPr="00EF153E">
        <w:rPr>
          <w:rFonts w:ascii="Times New Roman" w:hAnsi="Times New Roman" w:cs="Times New Roman"/>
          <w:sz w:val="24"/>
          <w:szCs w:val="24"/>
        </w:rPr>
        <w:t xml:space="preserve"> crore.</w:t>
      </w:r>
      <w:r w:rsidR="00910A0E">
        <w:rPr>
          <w:rFonts w:ascii="Times New Roman" w:hAnsi="Times New Roman" w:cs="Times New Roman"/>
          <w:sz w:val="24"/>
          <w:szCs w:val="24"/>
        </w:rPr>
        <w:t xml:space="preserve"> </w:t>
      </w:r>
      <w:r w:rsidR="008E1E11">
        <w:rPr>
          <w:rFonts w:ascii="Times New Roman" w:hAnsi="Times New Roman" w:cs="Times New Roman"/>
          <w:sz w:val="24"/>
          <w:szCs w:val="24"/>
        </w:rPr>
        <w:t>The impact of non-transfer</w:t>
      </w:r>
      <w:r w:rsidR="001C48BC">
        <w:rPr>
          <w:rFonts w:ascii="Times New Roman" w:hAnsi="Times New Roman" w:cs="Times New Roman"/>
          <w:sz w:val="24"/>
          <w:szCs w:val="24"/>
        </w:rPr>
        <w:t xml:space="preserve"> of Labour Cess of </w:t>
      </w:r>
      <w:r w:rsidR="008E1405" w:rsidRPr="008E1405">
        <w:rPr>
          <w:rFonts w:ascii="Times New Roman" w:hAnsi="Times New Roman" w:cs="Times New Roman"/>
          <w:sz w:val="24"/>
          <w:szCs w:val="24"/>
        </w:rPr>
        <w:t>₹</w:t>
      </w:r>
      <w:r w:rsidR="00245882" w:rsidRPr="00245882">
        <w:rPr>
          <w:rFonts w:ascii="Times New Roman" w:hAnsi="Times New Roman" w:cs="Times New Roman"/>
          <w:sz w:val="24"/>
          <w:szCs w:val="24"/>
        </w:rPr>
        <w:t>0.82</w:t>
      </w:r>
      <w:r w:rsidR="008E1E11">
        <w:rPr>
          <w:rFonts w:ascii="Times New Roman" w:hAnsi="Times New Roman" w:cs="Times New Roman"/>
          <w:sz w:val="24"/>
          <w:szCs w:val="24"/>
        </w:rPr>
        <w:t xml:space="preserve"> crore has</w:t>
      </w:r>
      <w:r w:rsidR="00FB7814">
        <w:rPr>
          <w:rFonts w:ascii="Times New Roman" w:hAnsi="Times New Roman" w:cs="Times New Roman"/>
          <w:sz w:val="24"/>
          <w:szCs w:val="24"/>
        </w:rPr>
        <w:t xml:space="preserve"> resulted </w:t>
      </w:r>
      <w:r w:rsidR="008E1E11">
        <w:rPr>
          <w:rFonts w:ascii="Times New Roman" w:hAnsi="Times New Roman" w:cs="Times New Roman"/>
          <w:sz w:val="24"/>
          <w:szCs w:val="24"/>
        </w:rPr>
        <w:t xml:space="preserve">in </w:t>
      </w:r>
      <w:r w:rsidR="004B21DE">
        <w:rPr>
          <w:rFonts w:ascii="Times New Roman" w:hAnsi="Times New Roman" w:cs="Times New Roman"/>
          <w:sz w:val="24"/>
          <w:szCs w:val="24"/>
        </w:rPr>
        <w:t xml:space="preserve">understatement </w:t>
      </w:r>
      <w:r w:rsidR="00FB7814">
        <w:rPr>
          <w:rFonts w:ascii="Times New Roman" w:hAnsi="Times New Roman" w:cs="Times New Roman"/>
          <w:sz w:val="24"/>
          <w:szCs w:val="24"/>
        </w:rPr>
        <w:t xml:space="preserve">of Revenue </w:t>
      </w:r>
      <w:r w:rsidR="004B21DE">
        <w:rPr>
          <w:rFonts w:ascii="Times New Roman" w:hAnsi="Times New Roman" w:cs="Times New Roman"/>
          <w:sz w:val="24"/>
          <w:szCs w:val="24"/>
        </w:rPr>
        <w:t>Expenditure</w:t>
      </w:r>
      <w:r w:rsidR="00FB7814">
        <w:rPr>
          <w:rFonts w:ascii="Times New Roman" w:hAnsi="Times New Roman" w:cs="Times New Roman"/>
          <w:sz w:val="24"/>
          <w:szCs w:val="24"/>
        </w:rPr>
        <w:t>.</w:t>
      </w:r>
      <w:r w:rsidR="00F762CC" w:rsidRPr="00F762CC">
        <w:rPr>
          <w:rFonts w:ascii="Times New Roman" w:hAnsi="Times New Roman" w:cs="Times New Roman"/>
          <w:sz w:val="24"/>
          <w:szCs w:val="24"/>
        </w:rPr>
        <w:t xml:space="preserve"> </w:t>
      </w:r>
    </w:p>
    <w:p w14:paraId="0401BED4" w14:textId="77777777" w:rsidR="00691CA3" w:rsidRPr="00EF153E" w:rsidRDefault="00EA7270" w:rsidP="00C01957">
      <w:pPr>
        <w:pStyle w:val="ListParagraph"/>
        <w:widowControl w:val="0"/>
        <w:numPr>
          <w:ilvl w:val="0"/>
          <w:numId w:val="21"/>
        </w:numPr>
        <w:autoSpaceDE w:val="0"/>
        <w:autoSpaceDN w:val="0"/>
        <w:adjustRightInd w:val="0"/>
        <w:spacing w:before="240" w:after="240" w:line="288" w:lineRule="auto"/>
        <w:ind w:left="1077"/>
        <w:contextualSpacing w:val="0"/>
        <w:jc w:val="both"/>
        <w:rPr>
          <w:rFonts w:ascii="Times New Roman" w:hAnsi="Times New Roman" w:cs="Times New Roman"/>
          <w:b/>
          <w:bCs/>
          <w:i/>
          <w:iCs/>
          <w:color w:val="00B0F0"/>
          <w:sz w:val="24"/>
          <w:szCs w:val="24"/>
        </w:rPr>
      </w:pPr>
      <w:r w:rsidRPr="00EF153E">
        <w:rPr>
          <w:rFonts w:ascii="Times New Roman" w:hAnsi="Times New Roman" w:cs="Times New Roman"/>
          <w:b/>
          <w:bCs/>
          <w:sz w:val="24"/>
          <w:szCs w:val="24"/>
        </w:rPr>
        <w:t>Other Cess</w:t>
      </w:r>
      <w:r w:rsidR="00D823EF" w:rsidRPr="00EF153E">
        <w:rPr>
          <w:rFonts w:ascii="Times New Roman" w:hAnsi="Times New Roman" w:cs="Times New Roman"/>
          <w:b/>
          <w:bCs/>
          <w:sz w:val="24"/>
          <w:szCs w:val="24"/>
        </w:rPr>
        <w:t>/fee/surcharge</w:t>
      </w:r>
      <w:r w:rsidR="00CD0F0E">
        <w:rPr>
          <w:rFonts w:ascii="Times New Roman" w:hAnsi="Times New Roman" w:cs="Times New Roman"/>
          <w:b/>
          <w:bCs/>
          <w:sz w:val="24"/>
          <w:szCs w:val="24"/>
        </w:rPr>
        <w:t xml:space="preserve"> </w:t>
      </w:r>
      <w:r w:rsidR="00691CA3" w:rsidRPr="00EF153E">
        <w:rPr>
          <w:rFonts w:ascii="Times New Roman" w:hAnsi="Times New Roman" w:cs="Times New Roman"/>
          <w:b/>
          <w:bCs/>
          <w:sz w:val="24"/>
          <w:szCs w:val="24"/>
        </w:rPr>
        <w:t>:</w:t>
      </w:r>
    </w:p>
    <w:p w14:paraId="52028BD4" w14:textId="77777777" w:rsidR="00D823EF" w:rsidRPr="00EF153E" w:rsidRDefault="00DB1113" w:rsidP="00C46971">
      <w:pPr>
        <w:widowControl w:val="0"/>
        <w:autoSpaceDE w:val="0"/>
        <w:autoSpaceDN w:val="0"/>
        <w:adjustRightInd w:val="0"/>
        <w:spacing w:before="120" w:after="120" w:line="276" w:lineRule="auto"/>
        <w:ind w:left="360"/>
        <w:jc w:val="both"/>
        <w:rPr>
          <w:rFonts w:ascii="Times New Roman" w:hAnsi="Times New Roman" w:cs="Times New Roman"/>
          <w:b/>
          <w:bCs/>
          <w:i/>
          <w:iCs/>
          <w:sz w:val="24"/>
          <w:szCs w:val="24"/>
          <w:lang w:val="en-IN"/>
        </w:rPr>
      </w:pPr>
      <w:r w:rsidRPr="00EF153E">
        <w:rPr>
          <w:rFonts w:ascii="Times New Roman" w:hAnsi="Times New Roman" w:cs="Times New Roman"/>
          <w:sz w:val="24"/>
          <w:szCs w:val="24"/>
        </w:rPr>
        <w:t xml:space="preserve">During the year </w:t>
      </w:r>
      <w:r w:rsidR="005B60D5" w:rsidRPr="00EF153E">
        <w:rPr>
          <w:rFonts w:ascii="Times New Roman" w:hAnsi="Times New Roman" w:cs="Times New Roman"/>
          <w:sz w:val="24"/>
          <w:szCs w:val="24"/>
        </w:rPr>
        <w:t>202</w:t>
      </w:r>
      <w:r w:rsidR="003F10B9">
        <w:rPr>
          <w:rFonts w:ascii="Times New Roman" w:hAnsi="Times New Roman" w:cs="Times New Roman"/>
          <w:sz w:val="24"/>
          <w:szCs w:val="24"/>
        </w:rPr>
        <w:t>2</w:t>
      </w:r>
      <w:r w:rsidR="005B60D5" w:rsidRPr="00EF153E">
        <w:rPr>
          <w:rFonts w:ascii="Times New Roman" w:hAnsi="Times New Roman" w:cs="Times New Roman"/>
          <w:sz w:val="24"/>
          <w:szCs w:val="24"/>
        </w:rPr>
        <w:t>-2</w:t>
      </w:r>
      <w:r w:rsidR="003F10B9">
        <w:rPr>
          <w:rFonts w:ascii="Times New Roman" w:hAnsi="Times New Roman" w:cs="Times New Roman"/>
          <w:sz w:val="24"/>
          <w:szCs w:val="24"/>
        </w:rPr>
        <w:t>3</w:t>
      </w:r>
      <w:r w:rsidR="005B60D5" w:rsidRPr="00EF153E">
        <w:rPr>
          <w:rFonts w:ascii="Times New Roman" w:hAnsi="Times New Roman" w:cs="Times New Roman"/>
          <w:sz w:val="24"/>
          <w:szCs w:val="24"/>
        </w:rPr>
        <w:t>, the Government did not collect any cess/fee/surcharge</w:t>
      </w:r>
      <w:r w:rsidR="00F04EAF" w:rsidRPr="00EF153E">
        <w:rPr>
          <w:rFonts w:ascii="Times New Roman" w:hAnsi="Times New Roman" w:cs="Times New Roman"/>
          <w:i/>
          <w:iCs/>
          <w:sz w:val="24"/>
          <w:szCs w:val="24"/>
        </w:rPr>
        <w:t>.</w:t>
      </w:r>
      <w:r w:rsidR="00F02B56" w:rsidRPr="00EF153E">
        <w:rPr>
          <w:rFonts w:ascii="Times New Roman" w:hAnsi="Times New Roman" w:cs="Times New Roman"/>
          <w:b/>
          <w:bCs/>
          <w:i/>
          <w:iCs/>
          <w:sz w:val="24"/>
          <w:szCs w:val="24"/>
        </w:rPr>
        <w:t xml:space="preserve"> </w:t>
      </w:r>
    </w:p>
    <w:p w14:paraId="46BB226D" w14:textId="77777777" w:rsidR="008E06D5" w:rsidRPr="008E06D5" w:rsidRDefault="00EA7270" w:rsidP="008E06D5">
      <w:pPr>
        <w:pStyle w:val="ListParagraph"/>
        <w:widowControl w:val="0"/>
        <w:numPr>
          <w:ilvl w:val="0"/>
          <w:numId w:val="21"/>
        </w:numPr>
        <w:autoSpaceDE w:val="0"/>
        <w:autoSpaceDN w:val="0"/>
        <w:adjustRightInd w:val="0"/>
        <w:spacing w:before="240" w:after="240" w:line="288" w:lineRule="auto"/>
        <w:contextualSpacing w:val="0"/>
        <w:jc w:val="both"/>
        <w:rPr>
          <w:rFonts w:ascii="Times New Roman" w:hAnsi="Times New Roman" w:cs="Times New Roman"/>
          <w:bCs/>
          <w:sz w:val="24"/>
          <w:szCs w:val="24"/>
        </w:rPr>
      </w:pPr>
      <w:r w:rsidRPr="00EF153E">
        <w:rPr>
          <w:rFonts w:ascii="Times New Roman" w:hAnsi="Times New Roman" w:cs="Times New Roman"/>
          <w:b/>
          <w:bCs/>
          <w:sz w:val="24"/>
          <w:szCs w:val="24"/>
        </w:rPr>
        <w:t>Adverse</w:t>
      </w:r>
      <w:r w:rsidRPr="00EF153E">
        <w:rPr>
          <w:rFonts w:ascii="Times New Roman" w:hAnsi="Times New Roman" w:cs="Times New Roman"/>
          <w:b/>
          <w:sz w:val="24"/>
          <w:szCs w:val="24"/>
        </w:rPr>
        <w:t xml:space="preserve"> Balance:</w:t>
      </w:r>
    </w:p>
    <w:p w14:paraId="14248458" w14:textId="77777777" w:rsidR="005B60D5" w:rsidRDefault="005B60D5" w:rsidP="008E06D5">
      <w:pPr>
        <w:widowControl w:val="0"/>
        <w:autoSpaceDE w:val="0"/>
        <w:autoSpaceDN w:val="0"/>
        <w:adjustRightInd w:val="0"/>
        <w:spacing w:before="240" w:after="240" w:line="288" w:lineRule="auto"/>
        <w:ind w:left="360"/>
        <w:jc w:val="both"/>
        <w:rPr>
          <w:rFonts w:ascii="Times New Roman" w:hAnsi="Times New Roman" w:cs="Times New Roman"/>
          <w:bCs/>
          <w:sz w:val="24"/>
          <w:szCs w:val="24"/>
        </w:rPr>
      </w:pPr>
      <w:r w:rsidRPr="008E06D5">
        <w:rPr>
          <w:rFonts w:ascii="Times New Roman" w:hAnsi="Times New Roman" w:cs="Times New Roman"/>
          <w:bCs/>
          <w:sz w:val="24"/>
          <w:szCs w:val="24"/>
        </w:rPr>
        <w:t>No minus balances appear in the accounts during 202</w:t>
      </w:r>
      <w:r w:rsidR="00A60A63" w:rsidRPr="008E06D5">
        <w:rPr>
          <w:rFonts w:ascii="Times New Roman" w:hAnsi="Times New Roman" w:cs="Times New Roman"/>
          <w:bCs/>
          <w:sz w:val="24"/>
          <w:szCs w:val="24"/>
        </w:rPr>
        <w:t>2</w:t>
      </w:r>
      <w:r w:rsidRPr="008E06D5">
        <w:rPr>
          <w:rFonts w:ascii="Times New Roman" w:hAnsi="Times New Roman" w:cs="Times New Roman"/>
          <w:bCs/>
          <w:sz w:val="24"/>
          <w:szCs w:val="24"/>
        </w:rPr>
        <w:t>-2</w:t>
      </w:r>
      <w:r w:rsidR="00A60A63" w:rsidRPr="008E06D5">
        <w:rPr>
          <w:rFonts w:ascii="Times New Roman" w:hAnsi="Times New Roman" w:cs="Times New Roman"/>
          <w:bCs/>
          <w:sz w:val="24"/>
          <w:szCs w:val="24"/>
        </w:rPr>
        <w:t>3</w:t>
      </w:r>
      <w:r w:rsidRPr="008E06D5">
        <w:rPr>
          <w:rFonts w:ascii="Times New Roman" w:hAnsi="Times New Roman" w:cs="Times New Roman"/>
          <w:bCs/>
          <w:sz w:val="24"/>
          <w:szCs w:val="24"/>
        </w:rPr>
        <w:t>.</w:t>
      </w:r>
    </w:p>
    <w:p w14:paraId="1B30F7B0" w14:textId="77777777" w:rsidR="000B6DFF" w:rsidRDefault="000B6DFF" w:rsidP="008E06D5">
      <w:pPr>
        <w:widowControl w:val="0"/>
        <w:autoSpaceDE w:val="0"/>
        <w:autoSpaceDN w:val="0"/>
        <w:adjustRightInd w:val="0"/>
        <w:spacing w:before="240" w:after="240" w:line="288" w:lineRule="auto"/>
        <w:ind w:left="360"/>
        <w:jc w:val="both"/>
        <w:rPr>
          <w:rFonts w:ascii="Times New Roman" w:hAnsi="Times New Roman" w:cs="Times New Roman"/>
          <w:bCs/>
          <w:sz w:val="24"/>
          <w:szCs w:val="24"/>
        </w:rPr>
      </w:pPr>
    </w:p>
    <w:p w14:paraId="57F5E827" w14:textId="77777777" w:rsidR="00691CA3" w:rsidRPr="00EF153E" w:rsidRDefault="00EA7270" w:rsidP="00C46971">
      <w:pPr>
        <w:pStyle w:val="ListParagraph"/>
        <w:widowControl w:val="0"/>
        <w:numPr>
          <w:ilvl w:val="0"/>
          <w:numId w:val="21"/>
        </w:numPr>
        <w:autoSpaceDE w:val="0"/>
        <w:autoSpaceDN w:val="0"/>
        <w:adjustRightInd w:val="0"/>
        <w:spacing w:before="240" w:after="240" w:line="288" w:lineRule="auto"/>
        <w:contextualSpacing w:val="0"/>
        <w:jc w:val="both"/>
        <w:rPr>
          <w:rFonts w:ascii="Times New Roman" w:hAnsi="Times New Roman" w:cs="Times New Roman"/>
          <w:bCs/>
          <w:iCs/>
          <w:sz w:val="24"/>
          <w:szCs w:val="24"/>
          <w:lang w:val="en-IN"/>
        </w:rPr>
      </w:pPr>
      <w:r w:rsidRPr="00EF153E">
        <w:rPr>
          <w:rFonts w:ascii="Times New Roman" w:hAnsi="Times New Roman" w:cs="Times New Roman"/>
          <w:b/>
          <w:bCs/>
          <w:sz w:val="24"/>
          <w:szCs w:val="24"/>
        </w:rPr>
        <w:lastRenderedPageBreak/>
        <w:t>Cash Balance:</w:t>
      </w:r>
    </w:p>
    <w:p w14:paraId="7660D435" w14:textId="77777777" w:rsidR="00004B45" w:rsidRDefault="00EA7270" w:rsidP="006F4E57">
      <w:pPr>
        <w:widowControl w:val="0"/>
        <w:autoSpaceDE w:val="0"/>
        <w:autoSpaceDN w:val="0"/>
        <w:adjustRightInd w:val="0"/>
        <w:spacing w:before="120" w:after="120" w:line="288" w:lineRule="auto"/>
        <w:ind w:left="360"/>
        <w:jc w:val="both"/>
        <w:rPr>
          <w:rStyle w:val="fontstyle01"/>
        </w:rPr>
      </w:pPr>
      <w:r w:rsidRPr="00EF153E">
        <w:rPr>
          <w:rFonts w:ascii="Times New Roman" w:hAnsi="Times New Roman" w:cs="Times New Roman"/>
          <w:sz w:val="24"/>
          <w:szCs w:val="24"/>
        </w:rPr>
        <w:t xml:space="preserve">The Cash balance as on 31 March </w:t>
      </w:r>
      <w:r w:rsidR="005B60D5" w:rsidRPr="00EF153E">
        <w:rPr>
          <w:rFonts w:ascii="Times New Roman" w:hAnsi="Times New Roman" w:cs="Times New Roman"/>
          <w:sz w:val="24"/>
          <w:szCs w:val="24"/>
        </w:rPr>
        <w:t>202</w:t>
      </w:r>
      <w:r w:rsidR="00A60A63">
        <w:rPr>
          <w:rFonts w:ascii="Times New Roman" w:hAnsi="Times New Roman" w:cs="Times New Roman"/>
          <w:sz w:val="24"/>
          <w:szCs w:val="24"/>
        </w:rPr>
        <w:t xml:space="preserve">3 </w:t>
      </w:r>
      <w:r w:rsidRPr="00EF153E">
        <w:rPr>
          <w:rFonts w:ascii="Times New Roman" w:hAnsi="Times New Roman" w:cs="Times New Roman"/>
          <w:sz w:val="24"/>
          <w:szCs w:val="24"/>
        </w:rPr>
        <w:t>as per</w:t>
      </w:r>
      <w:r w:rsidR="00AA130E" w:rsidRPr="00EF153E">
        <w:rPr>
          <w:rFonts w:ascii="Times New Roman" w:hAnsi="Times New Roman" w:cs="Times New Roman"/>
          <w:sz w:val="24"/>
          <w:szCs w:val="24"/>
        </w:rPr>
        <w:t xml:space="preserve"> the</w:t>
      </w:r>
      <w:r w:rsidRPr="00EF153E">
        <w:rPr>
          <w:rFonts w:ascii="Times New Roman" w:hAnsi="Times New Roman" w:cs="Times New Roman"/>
          <w:sz w:val="24"/>
          <w:szCs w:val="24"/>
        </w:rPr>
        <w:t xml:space="preserve"> record of Accountant General was</w:t>
      </w:r>
      <w:r w:rsidR="005B60D5" w:rsidRPr="00EF153E">
        <w:rPr>
          <w:rFonts w:ascii="Times New Roman" w:hAnsi="Times New Roman" w:cs="Times New Roman"/>
          <w:sz w:val="24"/>
          <w:szCs w:val="24"/>
        </w:rPr>
        <w:t xml:space="preserve"> </w:t>
      </w:r>
      <w:r w:rsidR="00EF153E">
        <w:rPr>
          <w:rFonts w:ascii="Times New Roman" w:hAnsi="Times New Roman" w:cs="Times New Roman"/>
          <w:sz w:val="24"/>
          <w:szCs w:val="24"/>
        </w:rPr>
        <w:t>₹</w:t>
      </w:r>
      <w:r w:rsidR="00A64273">
        <w:rPr>
          <w:rFonts w:ascii="Times New Roman" w:hAnsi="Times New Roman" w:cs="Times New Roman"/>
          <w:sz w:val="24"/>
          <w:szCs w:val="24"/>
        </w:rPr>
        <w:t>154.59</w:t>
      </w:r>
      <w:r w:rsidRPr="00EF153E">
        <w:rPr>
          <w:rFonts w:ascii="Times New Roman" w:hAnsi="Times New Roman" w:cs="Times New Roman"/>
          <w:sz w:val="24"/>
          <w:szCs w:val="24"/>
        </w:rPr>
        <w:t xml:space="preserve"> crore (Credit) and that reported by the RBI was </w:t>
      </w:r>
      <w:r w:rsidR="00EF153E">
        <w:rPr>
          <w:rFonts w:ascii="Times New Roman" w:hAnsi="Times New Roman" w:cs="Times New Roman"/>
          <w:sz w:val="24"/>
          <w:szCs w:val="24"/>
        </w:rPr>
        <w:t>₹</w:t>
      </w:r>
      <w:r w:rsidR="00162533">
        <w:rPr>
          <w:rFonts w:ascii="Times New Roman" w:hAnsi="Times New Roman" w:cs="Times New Roman"/>
          <w:sz w:val="24"/>
          <w:szCs w:val="24"/>
        </w:rPr>
        <w:t>1.13</w:t>
      </w:r>
      <w:r w:rsidR="005B60D5" w:rsidRPr="00EF153E">
        <w:rPr>
          <w:rFonts w:ascii="Times New Roman" w:hAnsi="Times New Roman" w:cs="Times New Roman"/>
          <w:sz w:val="24"/>
          <w:szCs w:val="24"/>
        </w:rPr>
        <w:t xml:space="preserve"> crore (Debit</w:t>
      </w:r>
      <w:r w:rsidRPr="00EF153E">
        <w:rPr>
          <w:rFonts w:ascii="Times New Roman" w:hAnsi="Times New Roman" w:cs="Times New Roman"/>
          <w:sz w:val="24"/>
          <w:szCs w:val="24"/>
        </w:rPr>
        <w:t xml:space="preserve">). There was a net difference of </w:t>
      </w:r>
      <w:r w:rsidR="00EF153E">
        <w:rPr>
          <w:rFonts w:ascii="Times New Roman" w:hAnsi="Times New Roman" w:cs="Times New Roman"/>
          <w:sz w:val="24"/>
          <w:szCs w:val="24"/>
        </w:rPr>
        <w:t>₹</w:t>
      </w:r>
      <w:r w:rsidR="00A64273">
        <w:rPr>
          <w:rFonts w:ascii="Times New Roman" w:hAnsi="Times New Roman" w:cs="Times New Roman"/>
          <w:sz w:val="24"/>
          <w:szCs w:val="24"/>
        </w:rPr>
        <w:t>153.</w:t>
      </w:r>
      <w:r w:rsidR="00864878">
        <w:rPr>
          <w:rFonts w:ascii="Times New Roman" w:hAnsi="Times New Roman" w:cs="Times New Roman"/>
          <w:sz w:val="24"/>
          <w:szCs w:val="24"/>
        </w:rPr>
        <w:t>4</w:t>
      </w:r>
      <w:r w:rsidR="00A64273">
        <w:rPr>
          <w:rFonts w:ascii="Times New Roman" w:hAnsi="Times New Roman" w:cs="Times New Roman"/>
          <w:sz w:val="24"/>
          <w:szCs w:val="24"/>
        </w:rPr>
        <w:t>6</w:t>
      </w:r>
      <w:r w:rsidRPr="00EF153E">
        <w:rPr>
          <w:rFonts w:ascii="Times New Roman" w:hAnsi="Times New Roman" w:cs="Times New Roman"/>
          <w:sz w:val="24"/>
          <w:szCs w:val="24"/>
        </w:rPr>
        <w:t xml:space="preserve"> crore (Credit), mainly due to </w:t>
      </w:r>
      <w:r w:rsidR="00E846D4" w:rsidRPr="00EF153E">
        <w:rPr>
          <w:rFonts w:ascii="Times New Roman" w:hAnsi="Times New Roman" w:cs="Times New Roman"/>
          <w:sz w:val="24"/>
          <w:szCs w:val="24"/>
        </w:rPr>
        <w:t>misclassification by Banks and Treasuries</w:t>
      </w:r>
      <w:r w:rsidRPr="00EF153E">
        <w:rPr>
          <w:rFonts w:ascii="Times New Roman" w:hAnsi="Times New Roman" w:cs="Times New Roman"/>
          <w:sz w:val="24"/>
          <w:szCs w:val="24"/>
        </w:rPr>
        <w:t>.</w:t>
      </w:r>
      <w:r w:rsidR="00974D1F">
        <w:rPr>
          <w:rFonts w:ascii="Times New Roman" w:hAnsi="Times New Roman" w:cs="Times New Roman"/>
          <w:sz w:val="24"/>
          <w:szCs w:val="24"/>
        </w:rPr>
        <w:t xml:space="preserve"> </w:t>
      </w:r>
      <w:r w:rsidR="00557F90">
        <w:rPr>
          <w:rStyle w:val="fontstyle01"/>
        </w:rPr>
        <w:t>The difference is under reconciliation.</w:t>
      </w:r>
      <w:r w:rsidR="004B6681">
        <w:rPr>
          <w:rStyle w:val="fontstyle01"/>
        </w:rPr>
        <w:t xml:space="preserve"> </w:t>
      </w:r>
    </w:p>
    <w:p w14:paraId="5BC2E35A" w14:textId="7BB9DF16" w:rsidR="009221A0" w:rsidRDefault="009221A0" w:rsidP="00264881">
      <w:pPr>
        <w:widowControl w:val="0"/>
        <w:autoSpaceDE w:val="0"/>
        <w:autoSpaceDN w:val="0"/>
        <w:adjustRightInd w:val="0"/>
        <w:spacing w:before="240" w:after="240" w:line="288" w:lineRule="auto"/>
        <w:ind w:left="360"/>
        <w:jc w:val="both"/>
        <w:rPr>
          <w:rFonts w:ascii="Times New Roman" w:hAnsi="Times New Roman" w:cs="Times New Roman"/>
          <w:sz w:val="24"/>
          <w:szCs w:val="24"/>
        </w:rPr>
      </w:pPr>
      <w:r w:rsidRPr="009221A0">
        <w:rPr>
          <w:rFonts w:ascii="Times New Roman" w:hAnsi="Times New Roman" w:cs="Times New Roman"/>
          <w:i/>
          <w:iCs/>
          <w:color w:val="000000"/>
          <w:sz w:val="24"/>
          <w:szCs w:val="24"/>
        </w:rPr>
        <w:t>The relevant figures are available in Statement No. 21 of the Finance Accounts</w:t>
      </w:r>
      <w:r w:rsidRPr="009221A0">
        <w:rPr>
          <w:rFonts w:ascii="Times New Roman" w:hAnsi="Times New Roman" w:cs="Times New Roman"/>
          <w:color w:val="000000"/>
          <w:sz w:val="24"/>
          <w:szCs w:val="24"/>
        </w:rPr>
        <w:t>.</w:t>
      </w:r>
    </w:p>
    <w:p w14:paraId="7C3A862E" w14:textId="77777777" w:rsidR="00E22078" w:rsidRPr="00E22078" w:rsidRDefault="00E22078" w:rsidP="006F4E57">
      <w:pPr>
        <w:ind w:left="360"/>
        <w:jc w:val="both"/>
        <w:rPr>
          <w:rFonts w:ascii="Times New Roman" w:hAnsi="Times New Roman" w:cs="Times New Roman"/>
          <w:sz w:val="24"/>
          <w:szCs w:val="24"/>
        </w:rPr>
      </w:pPr>
      <w:r w:rsidRPr="00E22078">
        <w:rPr>
          <w:rFonts w:ascii="Times New Roman" w:hAnsi="Times New Roman" w:cs="Times New Roman"/>
          <w:sz w:val="24"/>
          <w:szCs w:val="24"/>
        </w:rPr>
        <w:t>The Cash balance as on 31 March 2022 as per the record of Accountant General was</w:t>
      </w:r>
      <w:r w:rsidRPr="00E22078">
        <w:rPr>
          <w:rFonts w:ascii="Times New Roman" w:hAnsi="Times New Roman" w:cs="Times New Roman"/>
          <w:sz w:val="24"/>
          <w:szCs w:val="24"/>
        </w:rPr>
        <w:br/>
        <w:t>₹7.06 crore (Credit) and that reported by the RBI was ₹1.26 crore (Debit). There was a</w:t>
      </w:r>
      <w:r w:rsidRPr="00E22078">
        <w:rPr>
          <w:rFonts w:ascii="Times New Roman" w:hAnsi="Times New Roman" w:cs="Times New Roman"/>
          <w:sz w:val="24"/>
          <w:szCs w:val="24"/>
        </w:rPr>
        <w:br/>
        <w:t>net difference of ₹5.80 crore (Credit), mainly due to misclassification by Banks and</w:t>
      </w:r>
      <w:r w:rsidRPr="00E22078">
        <w:rPr>
          <w:rFonts w:ascii="Times New Roman" w:hAnsi="Times New Roman" w:cs="Times New Roman"/>
          <w:sz w:val="24"/>
          <w:szCs w:val="24"/>
        </w:rPr>
        <w:br/>
        <w:t xml:space="preserve">Treasuries. </w:t>
      </w:r>
    </w:p>
    <w:p w14:paraId="48BF498D" w14:textId="77777777" w:rsidR="007A64F6" w:rsidRPr="0099659C" w:rsidRDefault="007A64F6" w:rsidP="00264881">
      <w:pPr>
        <w:pStyle w:val="ListParagraph"/>
        <w:numPr>
          <w:ilvl w:val="0"/>
          <w:numId w:val="15"/>
        </w:numPr>
        <w:spacing w:before="240" w:after="240" w:line="240" w:lineRule="auto"/>
        <w:ind w:left="360"/>
        <w:rPr>
          <w:rFonts w:ascii="Times New Roman" w:hAnsi="Times New Roman" w:cs="Times New Roman"/>
          <w:sz w:val="24"/>
          <w:szCs w:val="24"/>
        </w:rPr>
      </w:pPr>
      <w:r w:rsidRPr="0099659C">
        <w:rPr>
          <w:rFonts w:ascii="Times New Roman" w:hAnsi="Times New Roman" w:cs="Times New Roman"/>
          <w:b/>
          <w:bCs/>
          <w:sz w:val="24"/>
          <w:szCs w:val="24"/>
        </w:rPr>
        <w:t>Impact on revenue expenditure:</w:t>
      </w:r>
    </w:p>
    <w:p w14:paraId="6D757EDC" w14:textId="77777777" w:rsidR="00B3793B" w:rsidRDefault="007A64F6" w:rsidP="00300683">
      <w:pPr>
        <w:shd w:val="clear" w:color="auto" w:fill="FFFFFF"/>
        <w:spacing w:before="120" w:line="276" w:lineRule="auto"/>
        <w:ind w:left="357"/>
        <w:jc w:val="both"/>
        <w:rPr>
          <w:rFonts w:ascii="Times New Roman" w:hAnsi="Times New Roman" w:cs="Times New Roman"/>
          <w:sz w:val="24"/>
          <w:szCs w:val="24"/>
        </w:rPr>
      </w:pPr>
      <w:r w:rsidRPr="00EF153E">
        <w:rPr>
          <w:rFonts w:ascii="Times New Roman" w:hAnsi="Times New Roman" w:cs="Times New Roman"/>
          <w:sz w:val="24"/>
          <w:szCs w:val="24"/>
        </w:rPr>
        <w:t>The impact on revenue expenditure of misclassifications/non-compliance to statutory provisions on the states’ finances as brought out in the preceding paras is tabulated below:</w:t>
      </w:r>
      <w:r w:rsidR="00B3793B">
        <w:rPr>
          <w:rFonts w:ascii="Times New Roman" w:hAnsi="Times New Roman" w:cs="Times New Roman"/>
          <w:sz w:val="24"/>
          <w:szCs w:val="24"/>
        </w:rPr>
        <w:t xml:space="preserve"> </w:t>
      </w:r>
    </w:p>
    <w:tbl>
      <w:tblPr>
        <w:tblStyle w:val="TableGrid"/>
        <w:tblW w:w="8460" w:type="dxa"/>
        <w:tblInd w:w="468" w:type="dxa"/>
        <w:tblLayout w:type="fixed"/>
        <w:tblLook w:val="04A0" w:firstRow="1" w:lastRow="0" w:firstColumn="1" w:lastColumn="0" w:noHBand="0" w:noVBand="1"/>
      </w:tblPr>
      <w:tblGrid>
        <w:gridCol w:w="1260"/>
        <w:gridCol w:w="3510"/>
        <w:gridCol w:w="1800"/>
        <w:gridCol w:w="1890"/>
      </w:tblGrid>
      <w:tr w:rsidR="007A64F6" w:rsidRPr="00C01957" w14:paraId="5C2AA0C4" w14:textId="77777777" w:rsidTr="00C01957">
        <w:trPr>
          <w:trHeight w:val="341"/>
        </w:trPr>
        <w:tc>
          <w:tcPr>
            <w:tcW w:w="1260" w:type="dxa"/>
          </w:tcPr>
          <w:p w14:paraId="4F90B98E" w14:textId="77777777" w:rsidR="007A64F6" w:rsidRPr="00C01957" w:rsidRDefault="007A64F6" w:rsidP="00C01957">
            <w:pPr>
              <w:spacing w:before="80" w:after="80" w:line="240" w:lineRule="auto"/>
              <w:jc w:val="both"/>
              <w:rPr>
                <w:rFonts w:eastAsia="Calibri"/>
                <w:sz w:val="24"/>
                <w:szCs w:val="24"/>
              </w:rPr>
            </w:pPr>
            <w:r w:rsidRPr="00C01957">
              <w:rPr>
                <w:b/>
                <w:sz w:val="24"/>
                <w:szCs w:val="24"/>
              </w:rPr>
              <w:t>Para Number</w:t>
            </w:r>
          </w:p>
        </w:tc>
        <w:tc>
          <w:tcPr>
            <w:tcW w:w="3510" w:type="dxa"/>
          </w:tcPr>
          <w:p w14:paraId="5DF5F869" w14:textId="15CC44D4" w:rsidR="007A64F6" w:rsidRPr="00C01957" w:rsidRDefault="007A64F6" w:rsidP="00C01957">
            <w:pPr>
              <w:spacing w:before="80" w:after="80" w:line="240" w:lineRule="auto"/>
              <w:jc w:val="center"/>
              <w:rPr>
                <w:rFonts w:eastAsia="Calibri"/>
                <w:sz w:val="24"/>
                <w:szCs w:val="24"/>
              </w:rPr>
            </w:pPr>
            <w:r w:rsidRPr="00C01957">
              <w:rPr>
                <w:b/>
                <w:sz w:val="24"/>
                <w:szCs w:val="24"/>
              </w:rPr>
              <w:t>Item</w:t>
            </w:r>
          </w:p>
        </w:tc>
        <w:tc>
          <w:tcPr>
            <w:tcW w:w="1800" w:type="dxa"/>
          </w:tcPr>
          <w:p w14:paraId="4047A9CA" w14:textId="77777777" w:rsidR="007A64F6" w:rsidRPr="00C01957" w:rsidRDefault="007A64F6" w:rsidP="00C01957">
            <w:pPr>
              <w:spacing w:before="80" w:after="80" w:line="240" w:lineRule="auto"/>
              <w:jc w:val="center"/>
              <w:rPr>
                <w:b/>
                <w:sz w:val="24"/>
                <w:szCs w:val="24"/>
              </w:rPr>
            </w:pPr>
            <w:r w:rsidRPr="00C01957">
              <w:rPr>
                <w:b/>
                <w:sz w:val="24"/>
                <w:szCs w:val="24"/>
              </w:rPr>
              <w:t>Overstatement of revenue expenditure</w:t>
            </w:r>
          </w:p>
          <w:p w14:paraId="18497577" w14:textId="77777777" w:rsidR="007A64F6" w:rsidRPr="00C01957" w:rsidRDefault="007A64F6" w:rsidP="00C01957">
            <w:pPr>
              <w:spacing w:before="80" w:after="80" w:line="240" w:lineRule="auto"/>
              <w:jc w:val="center"/>
              <w:rPr>
                <w:rFonts w:eastAsia="Calibri"/>
                <w:b/>
                <w:sz w:val="24"/>
                <w:szCs w:val="24"/>
              </w:rPr>
            </w:pPr>
            <w:r w:rsidRPr="00C01957">
              <w:rPr>
                <w:b/>
                <w:sz w:val="24"/>
                <w:szCs w:val="24"/>
              </w:rPr>
              <w:t>(</w:t>
            </w:r>
            <w:r w:rsidR="00EF153E" w:rsidRPr="00C01957">
              <w:rPr>
                <w:b/>
                <w:sz w:val="24"/>
                <w:szCs w:val="24"/>
              </w:rPr>
              <w:t>₹</w:t>
            </w:r>
            <w:r w:rsidR="008E1405" w:rsidRPr="00C01957">
              <w:rPr>
                <w:b/>
                <w:sz w:val="24"/>
                <w:szCs w:val="24"/>
              </w:rPr>
              <w:t xml:space="preserve"> </w:t>
            </w:r>
            <w:r w:rsidRPr="00C01957">
              <w:rPr>
                <w:b/>
                <w:sz w:val="24"/>
                <w:szCs w:val="24"/>
              </w:rPr>
              <w:t>in crore)</w:t>
            </w:r>
          </w:p>
        </w:tc>
        <w:tc>
          <w:tcPr>
            <w:tcW w:w="1890" w:type="dxa"/>
          </w:tcPr>
          <w:p w14:paraId="552C09DB" w14:textId="77777777" w:rsidR="007A64F6" w:rsidRPr="00C01957" w:rsidRDefault="007A64F6" w:rsidP="00C01957">
            <w:pPr>
              <w:spacing w:before="80" w:after="80" w:line="240" w:lineRule="auto"/>
              <w:jc w:val="center"/>
              <w:rPr>
                <w:b/>
                <w:sz w:val="24"/>
                <w:szCs w:val="24"/>
              </w:rPr>
            </w:pPr>
            <w:r w:rsidRPr="00C01957">
              <w:rPr>
                <w:b/>
                <w:sz w:val="24"/>
                <w:szCs w:val="24"/>
              </w:rPr>
              <w:t>Understatement of revenue expenditure</w:t>
            </w:r>
          </w:p>
          <w:p w14:paraId="1582F62C" w14:textId="77777777" w:rsidR="007A64F6" w:rsidRPr="00C01957" w:rsidRDefault="007A64F6" w:rsidP="00C01957">
            <w:pPr>
              <w:spacing w:before="80" w:after="80" w:line="240" w:lineRule="auto"/>
              <w:jc w:val="center"/>
              <w:rPr>
                <w:rFonts w:eastAsia="Calibri"/>
                <w:b/>
                <w:sz w:val="24"/>
                <w:szCs w:val="24"/>
              </w:rPr>
            </w:pPr>
            <w:r w:rsidRPr="00C01957">
              <w:rPr>
                <w:b/>
                <w:sz w:val="24"/>
                <w:szCs w:val="24"/>
              </w:rPr>
              <w:t>(</w:t>
            </w:r>
            <w:r w:rsidR="00EF153E" w:rsidRPr="00C01957">
              <w:rPr>
                <w:b/>
                <w:sz w:val="24"/>
                <w:szCs w:val="24"/>
              </w:rPr>
              <w:t>₹</w:t>
            </w:r>
            <w:r w:rsidR="008E1405" w:rsidRPr="00C01957">
              <w:rPr>
                <w:b/>
                <w:sz w:val="24"/>
                <w:szCs w:val="24"/>
              </w:rPr>
              <w:t xml:space="preserve"> </w:t>
            </w:r>
            <w:r w:rsidRPr="00C01957">
              <w:rPr>
                <w:b/>
                <w:sz w:val="24"/>
                <w:szCs w:val="24"/>
              </w:rPr>
              <w:t>in crore)</w:t>
            </w:r>
          </w:p>
        </w:tc>
      </w:tr>
      <w:tr w:rsidR="00603A61" w:rsidRPr="00AA4054" w14:paraId="524DA7C5" w14:textId="77777777" w:rsidTr="00C01957">
        <w:tc>
          <w:tcPr>
            <w:tcW w:w="1260" w:type="dxa"/>
          </w:tcPr>
          <w:p w14:paraId="229462DB" w14:textId="58792B97" w:rsidR="00603A61" w:rsidRPr="00AA4054" w:rsidRDefault="00603A61" w:rsidP="00C01957">
            <w:pPr>
              <w:spacing w:before="80" w:after="80" w:line="240" w:lineRule="auto"/>
              <w:jc w:val="both"/>
              <w:rPr>
                <w:sz w:val="24"/>
                <w:szCs w:val="24"/>
              </w:rPr>
            </w:pPr>
            <w:r w:rsidRPr="00AA4054">
              <w:rPr>
                <w:sz w:val="24"/>
                <w:szCs w:val="24"/>
              </w:rPr>
              <w:t>3(vii)</w:t>
            </w:r>
          </w:p>
        </w:tc>
        <w:tc>
          <w:tcPr>
            <w:tcW w:w="3510" w:type="dxa"/>
          </w:tcPr>
          <w:p w14:paraId="31A13A02" w14:textId="77777777" w:rsidR="00603A61" w:rsidRPr="00AA4054" w:rsidRDefault="00603A61" w:rsidP="00C01957">
            <w:pPr>
              <w:spacing w:before="80" w:after="80" w:line="240" w:lineRule="auto"/>
              <w:jc w:val="both"/>
              <w:rPr>
                <w:sz w:val="24"/>
                <w:szCs w:val="24"/>
              </w:rPr>
            </w:pPr>
            <w:r>
              <w:rPr>
                <w:sz w:val="24"/>
                <w:szCs w:val="24"/>
              </w:rPr>
              <w:t>Interest Adjustment</w:t>
            </w:r>
          </w:p>
        </w:tc>
        <w:tc>
          <w:tcPr>
            <w:tcW w:w="1800" w:type="dxa"/>
          </w:tcPr>
          <w:p w14:paraId="113B3F63" w14:textId="77777777" w:rsidR="00603A61" w:rsidRPr="00AA4054" w:rsidRDefault="00603A61" w:rsidP="00C01957">
            <w:pPr>
              <w:spacing w:before="80" w:after="80"/>
              <w:jc w:val="center"/>
              <w:rPr>
                <w:sz w:val="24"/>
                <w:szCs w:val="24"/>
              </w:rPr>
            </w:pPr>
            <w:r>
              <w:rPr>
                <w:sz w:val="24"/>
                <w:szCs w:val="24"/>
              </w:rPr>
              <w:t>…</w:t>
            </w:r>
          </w:p>
        </w:tc>
        <w:tc>
          <w:tcPr>
            <w:tcW w:w="1890" w:type="dxa"/>
          </w:tcPr>
          <w:p w14:paraId="28FB7895" w14:textId="254CAE02" w:rsidR="00603A61" w:rsidRPr="00AA4054" w:rsidRDefault="00FB63AE" w:rsidP="00C01957">
            <w:pPr>
              <w:spacing w:before="80" w:after="80" w:line="240" w:lineRule="auto"/>
              <w:jc w:val="center"/>
              <w:rPr>
                <w:sz w:val="24"/>
                <w:szCs w:val="24"/>
              </w:rPr>
            </w:pPr>
            <w:r>
              <w:rPr>
                <w:sz w:val="24"/>
                <w:szCs w:val="24"/>
              </w:rPr>
              <w:t>2</w:t>
            </w:r>
            <w:r w:rsidR="00004B45">
              <w:rPr>
                <w:sz w:val="24"/>
                <w:szCs w:val="24"/>
              </w:rPr>
              <w:t>7</w:t>
            </w:r>
            <w:r>
              <w:rPr>
                <w:sz w:val="24"/>
                <w:szCs w:val="24"/>
              </w:rPr>
              <w:t>.</w:t>
            </w:r>
            <w:r w:rsidR="00004B45">
              <w:rPr>
                <w:sz w:val="24"/>
                <w:szCs w:val="24"/>
              </w:rPr>
              <w:t>01</w:t>
            </w:r>
          </w:p>
        </w:tc>
      </w:tr>
      <w:tr w:rsidR="00603A61" w:rsidRPr="00AA4054" w14:paraId="1E725F38" w14:textId="77777777" w:rsidTr="00C01957">
        <w:tc>
          <w:tcPr>
            <w:tcW w:w="1260" w:type="dxa"/>
          </w:tcPr>
          <w:p w14:paraId="082A20E3" w14:textId="77777777" w:rsidR="00603A61" w:rsidRPr="00AA4054" w:rsidRDefault="00603A61" w:rsidP="00C01957">
            <w:pPr>
              <w:spacing w:before="80" w:after="80" w:line="240" w:lineRule="auto"/>
              <w:jc w:val="both"/>
              <w:rPr>
                <w:sz w:val="24"/>
                <w:szCs w:val="24"/>
              </w:rPr>
            </w:pPr>
            <w:r w:rsidRPr="00AA4054">
              <w:rPr>
                <w:sz w:val="24"/>
                <w:szCs w:val="24"/>
              </w:rPr>
              <w:t>5(i)</w:t>
            </w:r>
          </w:p>
        </w:tc>
        <w:tc>
          <w:tcPr>
            <w:tcW w:w="3510" w:type="dxa"/>
          </w:tcPr>
          <w:p w14:paraId="533C62A8" w14:textId="77777777" w:rsidR="00603A61" w:rsidRPr="00AA4054" w:rsidRDefault="00603A61" w:rsidP="00C01957">
            <w:pPr>
              <w:spacing w:before="80" w:after="80" w:line="240" w:lineRule="auto"/>
              <w:jc w:val="both"/>
              <w:rPr>
                <w:sz w:val="24"/>
                <w:szCs w:val="24"/>
              </w:rPr>
            </w:pPr>
            <w:r w:rsidRPr="00AA4054">
              <w:rPr>
                <w:sz w:val="24"/>
                <w:szCs w:val="24"/>
              </w:rPr>
              <w:t>Short transfer of Employer’s share to Defined Contribution Pension Scheme.</w:t>
            </w:r>
          </w:p>
        </w:tc>
        <w:tc>
          <w:tcPr>
            <w:tcW w:w="1800" w:type="dxa"/>
          </w:tcPr>
          <w:p w14:paraId="4EA197BA" w14:textId="77777777" w:rsidR="00603A61" w:rsidRPr="00AA4054" w:rsidRDefault="00603A61" w:rsidP="00C01957">
            <w:pPr>
              <w:spacing w:before="80" w:after="80"/>
              <w:jc w:val="center"/>
              <w:rPr>
                <w:sz w:val="24"/>
                <w:szCs w:val="24"/>
              </w:rPr>
            </w:pPr>
            <w:r>
              <w:rPr>
                <w:sz w:val="24"/>
                <w:szCs w:val="24"/>
              </w:rPr>
              <w:t>…</w:t>
            </w:r>
          </w:p>
        </w:tc>
        <w:tc>
          <w:tcPr>
            <w:tcW w:w="1890" w:type="dxa"/>
          </w:tcPr>
          <w:p w14:paraId="2846AC77" w14:textId="77777777" w:rsidR="008E1405" w:rsidRDefault="008E1405" w:rsidP="00C01957">
            <w:pPr>
              <w:spacing w:before="80" w:after="80" w:line="240" w:lineRule="auto"/>
              <w:jc w:val="center"/>
              <w:rPr>
                <w:sz w:val="24"/>
                <w:szCs w:val="24"/>
              </w:rPr>
            </w:pPr>
          </w:p>
          <w:p w14:paraId="3A53084E" w14:textId="77777777" w:rsidR="00603A61" w:rsidRPr="00AA4054" w:rsidRDefault="00FB63AE" w:rsidP="00C01957">
            <w:pPr>
              <w:spacing w:before="80" w:after="80" w:line="240" w:lineRule="auto"/>
              <w:jc w:val="center"/>
              <w:rPr>
                <w:sz w:val="24"/>
                <w:szCs w:val="24"/>
              </w:rPr>
            </w:pPr>
            <w:r>
              <w:rPr>
                <w:sz w:val="24"/>
                <w:szCs w:val="24"/>
              </w:rPr>
              <w:t>10.49</w:t>
            </w:r>
          </w:p>
        </w:tc>
      </w:tr>
      <w:tr w:rsidR="00603A61" w:rsidRPr="00AA4054" w14:paraId="13AE9557" w14:textId="77777777" w:rsidTr="00C01957">
        <w:tc>
          <w:tcPr>
            <w:tcW w:w="1260" w:type="dxa"/>
          </w:tcPr>
          <w:p w14:paraId="24BBBABE" w14:textId="77777777" w:rsidR="00603A61" w:rsidRPr="00AA4054" w:rsidRDefault="00603A61" w:rsidP="00C01957">
            <w:pPr>
              <w:spacing w:before="80" w:after="80" w:line="240" w:lineRule="auto"/>
              <w:jc w:val="both"/>
              <w:rPr>
                <w:sz w:val="24"/>
                <w:szCs w:val="24"/>
              </w:rPr>
            </w:pPr>
            <w:r w:rsidRPr="00AA4054">
              <w:rPr>
                <w:sz w:val="24"/>
                <w:szCs w:val="24"/>
              </w:rPr>
              <w:t>5(ii)(A)(a)</w:t>
            </w:r>
          </w:p>
        </w:tc>
        <w:tc>
          <w:tcPr>
            <w:tcW w:w="3510" w:type="dxa"/>
          </w:tcPr>
          <w:p w14:paraId="50F7C4DE" w14:textId="77777777" w:rsidR="00603A61" w:rsidRPr="00AA4054" w:rsidRDefault="00603A61" w:rsidP="00C01957">
            <w:pPr>
              <w:spacing w:before="80" w:after="80" w:line="240" w:lineRule="auto"/>
              <w:jc w:val="both"/>
              <w:rPr>
                <w:sz w:val="24"/>
                <w:szCs w:val="24"/>
              </w:rPr>
            </w:pPr>
            <w:r w:rsidRPr="00AA4054">
              <w:rPr>
                <w:sz w:val="24"/>
                <w:szCs w:val="24"/>
              </w:rPr>
              <w:t>Non-contribution of State matching share in State Disaster Response Fund (SDRF)</w:t>
            </w:r>
          </w:p>
        </w:tc>
        <w:tc>
          <w:tcPr>
            <w:tcW w:w="1800" w:type="dxa"/>
          </w:tcPr>
          <w:p w14:paraId="4C485B2E" w14:textId="77777777" w:rsidR="00603A61" w:rsidRPr="00AA4054" w:rsidRDefault="00603A61" w:rsidP="00C01957">
            <w:pPr>
              <w:spacing w:before="80" w:after="80"/>
              <w:jc w:val="center"/>
              <w:rPr>
                <w:sz w:val="24"/>
                <w:szCs w:val="24"/>
              </w:rPr>
            </w:pPr>
            <w:r>
              <w:rPr>
                <w:sz w:val="24"/>
                <w:szCs w:val="24"/>
              </w:rPr>
              <w:t>…</w:t>
            </w:r>
          </w:p>
        </w:tc>
        <w:tc>
          <w:tcPr>
            <w:tcW w:w="1890" w:type="dxa"/>
          </w:tcPr>
          <w:p w14:paraId="0EDEC815" w14:textId="77777777" w:rsidR="00603A61" w:rsidRPr="00AA4054" w:rsidRDefault="00603A61" w:rsidP="00C01957">
            <w:pPr>
              <w:spacing w:before="80" w:after="80" w:line="240" w:lineRule="auto"/>
              <w:jc w:val="center"/>
              <w:rPr>
                <w:sz w:val="24"/>
                <w:szCs w:val="24"/>
              </w:rPr>
            </w:pPr>
            <w:r>
              <w:rPr>
                <w:sz w:val="24"/>
                <w:szCs w:val="24"/>
              </w:rPr>
              <w:t>3.91</w:t>
            </w:r>
          </w:p>
        </w:tc>
      </w:tr>
      <w:tr w:rsidR="00603A61" w:rsidRPr="00AA4054" w14:paraId="47AD3D96" w14:textId="77777777" w:rsidTr="00C01957">
        <w:tc>
          <w:tcPr>
            <w:tcW w:w="1260" w:type="dxa"/>
          </w:tcPr>
          <w:p w14:paraId="2BA3D790" w14:textId="77777777" w:rsidR="00603A61" w:rsidRPr="00AA4054" w:rsidRDefault="00603A61" w:rsidP="00C01957">
            <w:pPr>
              <w:spacing w:before="80" w:after="80" w:line="240" w:lineRule="auto"/>
              <w:jc w:val="both"/>
              <w:rPr>
                <w:sz w:val="24"/>
                <w:szCs w:val="24"/>
              </w:rPr>
            </w:pPr>
            <w:r w:rsidRPr="00AA4054">
              <w:rPr>
                <w:sz w:val="24"/>
                <w:szCs w:val="24"/>
              </w:rPr>
              <w:t>5(ii)(A)(a)</w:t>
            </w:r>
          </w:p>
        </w:tc>
        <w:tc>
          <w:tcPr>
            <w:tcW w:w="3510" w:type="dxa"/>
          </w:tcPr>
          <w:p w14:paraId="4791888D" w14:textId="77777777" w:rsidR="00603A61" w:rsidRPr="00AA4054" w:rsidRDefault="00603A61" w:rsidP="00C01957">
            <w:pPr>
              <w:spacing w:before="80" w:after="80" w:line="240" w:lineRule="auto"/>
              <w:jc w:val="both"/>
              <w:rPr>
                <w:sz w:val="24"/>
                <w:szCs w:val="24"/>
              </w:rPr>
            </w:pPr>
            <w:r w:rsidRPr="00AA4054">
              <w:rPr>
                <w:sz w:val="24"/>
                <w:szCs w:val="24"/>
              </w:rPr>
              <w:t>Non</w:t>
            </w:r>
            <w:r>
              <w:rPr>
                <w:sz w:val="24"/>
                <w:szCs w:val="24"/>
              </w:rPr>
              <w:t>-</w:t>
            </w:r>
            <w:r w:rsidRPr="00AA4054">
              <w:rPr>
                <w:sz w:val="24"/>
                <w:szCs w:val="24"/>
              </w:rPr>
              <w:t>transfer of Central share of SDRF</w:t>
            </w:r>
            <w:r>
              <w:rPr>
                <w:sz w:val="24"/>
                <w:szCs w:val="24"/>
              </w:rPr>
              <w:t xml:space="preserve"> </w:t>
            </w:r>
            <w:r w:rsidRPr="00AA4054">
              <w:rPr>
                <w:sz w:val="24"/>
                <w:szCs w:val="24"/>
              </w:rPr>
              <w:t>to Public account under MH 8121</w:t>
            </w:r>
          </w:p>
        </w:tc>
        <w:tc>
          <w:tcPr>
            <w:tcW w:w="1800" w:type="dxa"/>
          </w:tcPr>
          <w:p w14:paraId="35306FE0" w14:textId="77777777" w:rsidR="00603A61" w:rsidRPr="00AA4054" w:rsidRDefault="00603A61" w:rsidP="00C01957">
            <w:pPr>
              <w:spacing w:before="80" w:after="80"/>
              <w:jc w:val="center"/>
              <w:rPr>
                <w:sz w:val="24"/>
                <w:szCs w:val="24"/>
              </w:rPr>
            </w:pPr>
            <w:r>
              <w:rPr>
                <w:sz w:val="24"/>
                <w:szCs w:val="24"/>
              </w:rPr>
              <w:t>…</w:t>
            </w:r>
          </w:p>
        </w:tc>
        <w:tc>
          <w:tcPr>
            <w:tcW w:w="1890" w:type="dxa"/>
          </w:tcPr>
          <w:p w14:paraId="1E40B85F" w14:textId="77777777" w:rsidR="008E1405" w:rsidRDefault="008E1405" w:rsidP="00C01957">
            <w:pPr>
              <w:spacing w:before="80" w:after="80" w:line="240" w:lineRule="auto"/>
              <w:jc w:val="center"/>
              <w:rPr>
                <w:sz w:val="24"/>
                <w:szCs w:val="24"/>
              </w:rPr>
            </w:pPr>
          </w:p>
          <w:p w14:paraId="33EDDFBE" w14:textId="77777777" w:rsidR="00603A61" w:rsidRPr="00AA4054" w:rsidRDefault="00603A61" w:rsidP="00C01957">
            <w:pPr>
              <w:spacing w:before="80" w:after="80" w:line="240" w:lineRule="auto"/>
              <w:jc w:val="center"/>
              <w:rPr>
                <w:sz w:val="24"/>
                <w:szCs w:val="24"/>
              </w:rPr>
            </w:pPr>
            <w:r>
              <w:rPr>
                <w:sz w:val="24"/>
                <w:szCs w:val="24"/>
              </w:rPr>
              <w:t>35.20</w:t>
            </w:r>
          </w:p>
        </w:tc>
      </w:tr>
      <w:tr w:rsidR="00603A61" w:rsidRPr="00AA4054" w14:paraId="5BAC10EA" w14:textId="77777777" w:rsidTr="00C01957">
        <w:tc>
          <w:tcPr>
            <w:tcW w:w="1260" w:type="dxa"/>
          </w:tcPr>
          <w:p w14:paraId="5C207ADB" w14:textId="77777777" w:rsidR="00603A61" w:rsidRPr="00AA4054" w:rsidRDefault="00603A61" w:rsidP="00C01957">
            <w:pPr>
              <w:spacing w:before="80" w:after="80" w:line="240" w:lineRule="auto"/>
              <w:jc w:val="both"/>
              <w:rPr>
                <w:sz w:val="24"/>
                <w:szCs w:val="24"/>
              </w:rPr>
            </w:pPr>
            <w:r w:rsidRPr="00AA4054">
              <w:rPr>
                <w:sz w:val="24"/>
                <w:szCs w:val="24"/>
              </w:rPr>
              <w:t>5(ii)(B)(a)</w:t>
            </w:r>
          </w:p>
        </w:tc>
        <w:tc>
          <w:tcPr>
            <w:tcW w:w="3510" w:type="dxa"/>
          </w:tcPr>
          <w:p w14:paraId="65161BD1" w14:textId="77777777" w:rsidR="00603A61" w:rsidRPr="00AA4054" w:rsidRDefault="00603A61" w:rsidP="00C01957">
            <w:pPr>
              <w:spacing w:before="80" w:after="80" w:line="240" w:lineRule="auto"/>
              <w:jc w:val="both"/>
              <w:rPr>
                <w:sz w:val="24"/>
                <w:szCs w:val="24"/>
              </w:rPr>
            </w:pPr>
            <w:r w:rsidRPr="00AA4054">
              <w:rPr>
                <w:sz w:val="24"/>
                <w:szCs w:val="24"/>
              </w:rPr>
              <w:t>Non-contribution to Consolidated Sinking Fund</w:t>
            </w:r>
            <w:r>
              <w:rPr>
                <w:sz w:val="24"/>
                <w:szCs w:val="24"/>
              </w:rPr>
              <w:t>.</w:t>
            </w:r>
          </w:p>
        </w:tc>
        <w:tc>
          <w:tcPr>
            <w:tcW w:w="1800" w:type="dxa"/>
          </w:tcPr>
          <w:p w14:paraId="1C360F39" w14:textId="77777777" w:rsidR="00603A61" w:rsidRPr="00AA4054" w:rsidRDefault="00603A61" w:rsidP="00C01957">
            <w:pPr>
              <w:spacing w:before="80" w:after="80" w:line="240" w:lineRule="auto"/>
              <w:jc w:val="center"/>
              <w:rPr>
                <w:sz w:val="24"/>
                <w:szCs w:val="24"/>
              </w:rPr>
            </w:pPr>
            <w:r>
              <w:rPr>
                <w:sz w:val="24"/>
                <w:szCs w:val="24"/>
              </w:rPr>
              <w:t>…</w:t>
            </w:r>
          </w:p>
        </w:tc>
        <w:tc>
          <w:tcPr>
            <w:tcW w:w="1890" w:type="dxa"/>
          </w:tcPr>
          <w:p w14:paraId="60F2BF91" w14:textId="77777777" w:rsidR="00603A61" w:rsidRPr="00AA4054" w:rsidRDefault="00603A61" w:rsidP="00C01957">
            <w:pPr>
              <w:spacing w:before="80" w:after="80" w:line="240" w:lineRule="auto"/>
              <w:jc w:val="center"/>
              <w:rPr>
                <w:sz w:val="24"/>
                <w:szCs w:val="24"/>
              </w:rPr>
            </w:pPr>
            <w:r>
              <w:rPr>
                <w:sz w:val="24"/>
                <w:szCs w:val="24"/>
              </w:rPr>
              <w:t>76.77</w:t>
            </w:r>
          </w:p>
        </w:tc>
      </w:tr>
      <w:tr w:rsidR="00E778BE" w:rsidRPr="00AA4054" w14:paraId="5E2178D2" w14:textId="77777777" w:rsidTr="00C01957">
        <w:tc>
          <w:tcPr>
            <w:tcW w:w="1260" w:type="dxa"/>
          </w:tcPr>
          <w:p w14:paraId="4CE8FB0D" w14:textId="58F3020F" w:rsidR="00E778BE" w:rsidRDefault="00E778BE" w:rsidP="00C01957">
            <w:pPr>
              <w:spacing w:before="80" w:after="80" w:line="240" w:lineRule="auto"/>
              <w:jc w:val="both"/>
              <w:rPr>
                <w:sz w:val="24"/>
                <w:szCs w:val="24"/>
              </w:rPr>
            </w:pPr>
            <w:r>
              <w:rPr>
                <w:sz w:val="24"/>
                <w:szCs w:val="24"/>
              </w:rPr>
              <w:t>5(v)</w:t>
            </w:r>
          </w:p>
        </w:tc>
        <w:tc>
          <w:tcPr>
            <w:tcW w:w="3510" w:type="dxa"/>
          </w:tcPr>
          <w:p w14:paraId="20F3F100" w14:textId="0A21BC31" w:rsidR="00E778BE" w:rsidRDefault="003F63FE" w:rsidP="00C01957">
            <w:pPr>
              <w:spacing w:before="80" w:after="80" w:line="240" w:lineRule="auto"/>
              <w:jc w:val="both"/>
              <w:rPr>
                <w:sz w:val="24"/>
                <w:szCs w:val="24"/>
              </w:rPr>
            </w:pPr>
            <w:r w:rsidRPr="003F63FE">
              <w:rPr>
                <w:sz w:val="24"/>
                <w:szCs w:val="24"/>
              </w:rPr>
              <w:t>Building and other Construction Workers Welfare Cess:</w:t>
            </w:r>
          </w:p>
        </w:tc>
        <w:tc>
          <w:tcPr>
            <w:tcW w:w="1800" w:type="dxa"/>
          </w:tcPr>
          <w:p w14:paraId="49714738" w14:textId="0A3BDCA0" w:rsidR="00E778BE" w:rsidRDefault="003F63FE" w:rsidP="00C01957">
            <w:pPr>
              <w:spacing w:before="80" w:after="80" w:line="240" w:lineRule="auto"/>
              <w:jc w:val="center"/>
              <w:rPr>
                <w:sz w:val="24"/>
                <w:szCs w:val="24"/>
              </w:rPr>
            </w:pPr>
            <w:r>
              <w:rPr>
                <w:sz w:val="24"/>
                <w:szCs w:val="24"/>
              </w:rPr>
              <w:t>…</w:t>
            </w:r>
          </w:p>
        </w:tc>
        <w:tc>
          <w:tcPr>
            <w:tcW w:w="1890" w:type="dxa"/>
          </w:tcPr>
          <w:p w14:paraId="19C60E5B" w14:textId="54F35487" w:rsidR="00E778BE" w:rsidRDefault="003F63FE" w:rsidP="00C01957">
            <w:pPr>
              <w:spacing w:before="80" w:after="80" w:line="240" w:lineRule="auto"/>
              <w:jc w:val="center"/>
              <w:rPr>
                <w:sz w:val="24"/>
                <w:szCs w:val="24"/>
              </w:rPr>
            </w:pPr>
            <w:r>
              <w:rPr>
                <w:sz w:val="24"/>
                <w:szCs w:val="24"/>
              </w:rPr>
              <w:t>0.82</w:t>
            </w:r>
          </w:p>
        </w:tc>
      </w:tr>
      <w:tr w:rsidR="00603A61" w:rsidRPr="000F455C" w14:paraId="02BE10E1" w14:textId="77777777" w:rsidTr="00C01957">
        <w:tc>
          <w:tcPr>
            <w:tcW w:w="4770" w:type="dxa"/>
            <w:gridSpan w:val="2"/>
          </w:tcPr>
          <w:p w14:paraId="1CC7E881" w14:textId="3B8A30FF" w:rsidR="00603A61" w:rsidRPr="000F455C" w:rsidRDefault="00603A61" w:rsidP="00C01957">
            <w:pPr>
              <w:spacing w:before="80" w:after="80" w:line="240" w:lineRule="auto"/>
              <w:jc w:val="both"/>
              <w:rPr>
                <w:rFonts w:eastAsia="Calibri"/>
                <w:sz w:val="24"/>
                <w:szCs w:val="18"/>
              </w:rPr>
            </w:pPr>
            <w:r w:rsidRPr="000F455C">
              <w:rPr>
                <w:rFonts w:eastAsia="Calibri"/>
                <w:b/>
                <w:sz w:val="24"/>
                <w:szCs w:val="18"/>
              </w:rPr>
              <w:t>Total Impact</w:t>
            </w:r>
          </w:p>
        </w:tc>
        <w:tc>
          <w:tcPr>
            <w:tcW w:w="1800" w:type="dxa"/>
          </w:tcPr>
          <w:p w14:paraId="7D639433" w14:textId="450D8335" w:rsidR="00603A61" w:rsidRPr="00C01957" w:rsidRDefault="00C87797" w:rsidP="00C01957">
            <w:pPr>
              <w:spacing w:before="80" w:after="80" w:line="240" w:lineRule="auto"/>
              <w:jc w:val="center"/>
              <w:rPr>
                <w:b/>
                <w:sz w:val="24"/>
                <w:szCs w:val="24"/>
              </w:rPr>
            </w:pPr>
            <w:r>
              <w:rPr>
                <w:b/>
                <w:sz w:val="24"/>
                <w:szCs w:val="24"/>
              </w:rPr>
              <w:t>…</w:t>
            </w:r>
          </w:p>
        </w:tc>
        <w:tc>
          <w:tcPr>
            <w:tcW w:w="1890" w:type="dxa"/>
          </w:tcPr>
          <w:p w14:paraId="703951B9" w14:textId="3D5B80AE" w:rsidR="00603A61" w:rsidRDefault="00B8338B" w:rsidP="00C01957">
            <w:pPr>
              <w:spacing w:before="80" w:after="80" w:line="240" w:lineRule="auto"/>
              <w:jc w:val="center"/>
              <w:rPr>
                <w:rFonts w:eastAsia="Calibri"/>
                <w:b/>
                <w:sz w:val="24"/>
                <w:szCs w:val="18"/>
              </w:rPr>
            </w:pPr>
            <w:r>
              <w:rPr>
                <w:rFonts w:eastAsia="Calibri"/>
                <w:b/>
                <w:sz w:val="24"/>
                <w:szCs w:val="18"/>
              </w:rPr>
              <w:t>15</w:t>
            </w:r>
            <w:r w:rsidR="006770C4">
              <w:rPr>
                <w:rFonts w:eastAsia="Calibri"/>
                <w:b/>
                <w:sz w:val="24"/>
                <w:szCs w:val="18"/>
              </w:rPr>
              <w:t>4</w:t>
            </w:r>
            <w:r w:rsidR="00004B45">
              <w:rPr>
                <w:rFonts w:eastAsia="Calibri"/>
                <w:b/>
                <w:sz w:val="24"/>
                <w:szCs w:val="18"/>
              </w:rPr>
              <w:t>.</w:t>
            </w:r>
            <w:r w:rsidR="006770C4">
              <w:rPr>
                <w:rFonts w:eastAsia="Calibri"/>
                <w:b/>
                <w:sz w:val="24"/>
                <w:szCs w:val="18"/>
              </w:rPr>
              <w:t>20</w:t>
            </w:r>
          </w:p>
          <w:p w14:paraId="614DDA56" w14:textId="49D6C10F" w:rsidR="00603A61" w:rsidRPr="000F455C" w:rsidRDefault="00603A61" w:rsidP="00C01957">
            <w:pPr>
              <w:spacing w:before="80" w:after="80" w:line="240" w:lineRule="auto"/>
              <w:jc w:val="both"/>
              <w:rPr>
                <w:rFonts w:eastAsia="Calibri"/>
                <w:sz w:val="24"/>
                <w:szCs w:val="18"/>
              </w:rPr>
            </w:pPr>
            <w:r w:rsidRPr="000F455C">
              <w:rPr>
                <w:rFonts w:eastAsia="Calibri"/>
                <w:b/>
                <w:sz w:val="24"/>
                <w:szCs w:val="18"/>
              </w:rPr>
              <w:t xml:space="preserve">Understatement  </w:t>
            </w:r>
          </w:p>
        </w:tc>
      </w:tr>
    </w:tbl>
    <w:p w14:paraId="509A2FF9" w14:textId="77777777" w:rsidR="00132E0E" w:rsidRPr="00EF153E" w:rsidRDefault="00132E0E" w:rsidP="00497203">
      <w:pPr>
        <w:pStyle w:val="ListParagraph"/>
        <w:spacing w:before="120" w:after="120" w:line="276" w:lineRule="auto"/>
        <w:ind w:left="0"/>
        <w:contextualSpacing w:val="0"/>
        <w:jc w:val="both"/>
        <w:rPr>
          <w:rFonts w:ascii="Times New Roman" w:hAnsi="Times New Roman" w:cs="Times New Roman"/>
          <w:sz w:val="24"/>
          <w:szCs w:val="24"/>
        </w:rPr>
      </w:pPr>
    </w:p>
    <w:sectPr w:rsidR="00132E0E" w:rsidRPr="00EF153E" w:rsidSect="00B90901">
      <w:headerReference w:type="default" r:id="rId22"/>
      <w:pgSz w:w="11909" w:h="16834" w:code="9"/>
      <w:pgMar w:top="1440" w:right="1584" w:bottom="1440" w:left="1584" w:header="720" w:footer="720" w:gutter="0"/>
      <w:pgNumType w:start="5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196A09" w14:textId="77777777" w:rsidR="00B174C4" w:rsidRDefault="00B174C4" w:rsidP="00234589">
      <w:pPr>
        <w:spacing w:after="0" w:line="240" w:lineRule="auto"/>
      </w:pPr>
      <w:r>
        <w:separator/>
      </w:r>
    </w:p>
  </w:endnote>
  <w:endnote w:type="continuationSeparator" w:id="0">
    <w:p w14:paraId="384F9854" w14:textId="77777777" w:rsidR="00B174C4" w:rsidRDefault="00B174C4" w:rsidP="002345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20BD77" w14:textId="77777777" w:rsidR="00B174C4" w:rsidRDefault="00B174C4" w:rsidP="00234589">
      <w:pPr>
        <w:spacing w:after="0" w:line="240" w:lineRule="auto"/>
      </w:pPr>
      <w:r>
        <w:separator/>
      </w:r>
    </w:p>
  </w:footnote>
  <w:footnote w:type="continuationSeparator" w:id="0">
    <w:p w14:paraId="18C2B855" w14:textId="77777777" w:rsidR="00B174C4" w:rsidRDefault="00B174C4" w:rsidP="002345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62532"/>
      <w:docPartObj>
        <w:docPartGallery w:val="Page Numbers (Top of Page)"/>
        <w:docPartUnique/>
      </w:docPartObj>
    </w:sdtPr>
    <w:sdtEndPr/>
    <w:sdtContent>
      <w:p w14:paraId="323ECC08" w14:textId="7A6C2E5F" w:rsidR="005B490A" w:rsidRDefault="00730CB6">
        <w:pPr>
          <w:pStyle w:val="Header"/>
          <w:jc w:val="center"/>
        </w:pPr>
        <w:r>
          <w:fldChar w:fldCharType="begin"/>
        </w:r>
        <w:r>
          <w:instrText xml:space="preserve"> PAGE   \* MERGEFORMAT </w:instrText>
        </w:r>
        <w:r>
          <w:fldChar w:fldCharType="separate"/>
        </w:r>
        <w:r w:rsidR="0001318F">
          <w:rPr>
            <w:noProof/>
          </w:rPr>
          <w:t>64</w:t>
        </w:r>
        <w:r>
          <w:rPr>
            <w:noProof/>
          </w:rPr>
          <w:fldChar w:fldCharType="end"/>
        </w:r>
      </w:p>
      <w:p w14:paraId="2E26296C" w14:textId="77777777" w:rsidR="005B490A" w:rsidRDefault="00B174C4" w:rsidP="00E56D87">
        <w:pPr>
          <w:pStyle w:val="Head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0A5"/>
    <w:multiLevelType w:val="hybridMultilevel"/>
    <w:tmpl w:val="EFC28E92"/>
    <w:lvl w:ilvl="0" w:tplc="5B7E759A">
      <w:start w:val="7"/>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1F1735"/>
    <w:multiLevelType w:val="hybridMultilevel"/>
    <w:tmpl w:val="296675D4"/>
    <w:lvl w:ilvl="0" w:tplc="1AC43574">
      <w:start w:val="1"/>
      <w:numFmt w:val="bullet"/>
      <w:lvlText w:val=""/>
      <w:lvlJc w:val="left"/>
      <w:pPr>
        <w:ind w:left="720" w:hanging="360"/>
      </w:pPr>
      <w:rPr>
        <w:rFonts w:ascii="Symbol" w:hAnsi="Symbol" w:hint="default"/>
        <w:color w:val="00000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436BB4"/>
    <w:multiLevelType w:val="hybridMultilevel"/>
    <w:tmpl w:val="C6DA31B6"/>
    <w:lvl w:ilvl="0" w:tplc="4238E708">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nsid w:val="171B18C3"/>
    <w:multiLevelType w:val="hybridMultilevel"/>
    <w:tmpl w:val="43F4445C"/>
    <w:lvl w:ilvl="0" w:tplc="CFD0F50E">
      <w:start w:val="1"/>
      <w:numFmt w:val="lowerRoman"/>
      <w:lvlText w:val="(%1)"/>
      <w:lvlJc w:val="left"/>
      <w:pPr>
        <w:ind w:left="1080" w:hanging="720"/>
      </w:pPr>
      <w:rPr>
        <w:rFonts w:ascii="Times New Roman" w:hAnsi="Times New Roman" w:cs="Times New Roman" w:hint="default"/>
        <w:b/>
        <w:i w:val="0"/>
        <w:iCs w:val="0"/>
        <w:color w:val="auto"/>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0DC5914"/>
    <w:multiLevelType w:val="hybridMultilevel"/>
    <w:tmpl w:val="C6CE5E0E"/>
    <w:lvl w:ilvl="0" w:tplc="9F145930">
      <w:start w:val="1"/>
      <w:numFmt w:val="lowerRoman"/>
      <w:lvlText w:val="(%1)"/>
      <w:lvlJc w:val="left"/>
      <w:pPr>
        <w:ind w:left="1080" w:hanging="720"/>
      </w:pPr>
      <w:rPr>
        <w:rFonts w:ascii="Times New Roman" w:hAnsi="Times New Roman" w:cs="Times New Roman" w:hint="default"/>
        <w:b/>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3EF5030"/>
    <w:multiLevelType w:val="hybridMultilevel"/>
    <w:tmpl w:val="D858451E"/>
    <w:lvl w:ilvl="0" w:tplc="10CA52E6">
      <w:start w:val="1"/>
      <w:numFmt w:val="lowerLetter"/>
      <w:lvlText w:val="(%1)"/>
      <w:lvlJc w:val="left"/>
      <w:pPr>
        <w:ind w:left="720" w:hanging="360"/>
      </w:pPr>
      <w:rPr>
        <w:rFonts w:eastAsia="Calibri"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11958A9"/>
    <w:multiLevelType w:val="hybridMultilevel"/>
    <w:tmpl w:val="1714D746"/>
    <w:lvl w:ilvl="0" w:tplc="45100A52">
      <w:start w:val="5"/>
      <w:numFmt w:val="lowerRoman"/>
      <w:lvlText w:val="(%1)"/>
      <w:lvlJc w:val="left"/>
      <w:pPr>
        <w:ind w:left="144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2CA2A18"/>
    <w:multiLevelType w:val="hybridMultilevel"/>
    <w:tmpl w:val="14EE3530"/>
    <w:lvl w:ilvl="0" w:tplc="DE748992">
      <w:start w:val="1"/>
      <w:numFmt w:val="lowerRoman"/>
      <w:lvlText w:val="(%1)"/>
      <w:lvlJc w:val="left"/>
      <w:pPr>
        <w:ind w:left="1080" w:hanging="720"/>
      </w:pPr>
      <w:rPr>
        <w:rFonts w:ascii="Times New Roman" w:hAnsi="Times New Roman" w:cs="Times New Roman" w:hint="default"/>
        <w:b/>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33D706AC"/>
    <w:multiLevelType w:val="hybridMultilevel"/>
    <w:tmpl w:val="417CBB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3AFD4EB9"/>
    <w:multiLevelType w:val="hybridMultilevel"/>
    <w:tmpl w:val="43F4445C"/>
    <w:lvl w:ilvl="0" w:tplc="CFD0F50E">
      <w:start w:val="1"/>
      <w:numFmt w:val="lowerRoman"/>
      <w:lvlText w:val="(%1)"/>
      <w:lvlJc w:val="left"/>
      <w:pPr>
        <w:ind w:left="1080" w:hanging="720"/>
      </w:pPr>
      <w:rPr>
        <w:rFonts w:ascii="Times New Roman" w:hAnsi="Times New Roman" w:cs="Times New Roman" w:hint="default"/>
        <w:b/>
        <w:i w:val="0"/>
        <w:iCs w:val="0"/>
        <w:color w:val="auto"/>
        <w:sz w:val="24"/>
        <w:szCs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D0F331F"/>
    <w:multiLevelType w:val="hybridMultilevel"/>
    <w:tmpl w:val="B5CE4BFC"/>
    <w:lvl w:ilvl="0" w:tplc="07C8EEB6">
      <w:start w:val="1"/>
      <w:numFmt w:val="lowerRoman"/>
      <w:lvlText w:val="(%1)"/>
      <w:lvlJc w:val="left"/>
      <w:pPr>
        <w:ind w:left="1080" w:hanging="72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D55157"/>
    <w:multiLevelType w:val="hybridMultilevel"/>
    <w:tmpl w:val="969A1C08"/>
    <w:lvl w:ilvl="0" w:tplc="1F6CEE82">
      <w:start w:val="1"/>
      <w:numFmt w:val="low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423A69D6"/>
    <w:multiLevelType w:val="hybridMultilevel"/>
    <w:tmpl w:val="20E2F77C"/>
    <w:lvl w:ilvl="0" w:tplc="7A2C6D4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9F91DEA"/>
    <w:multiLevelType w:val="hybridMultilevel"/>
    <w:tmpl w:val="260AAE82"/>
    <w:lvl w:ilvl="0" w:tplc="470C2E24">
      <w:start w:val="1"/>
      <w:numFmt w:val="lowerRoman"/>
      <w:lvlText w:val="(%1)"/>
      <w:lvlJc w:val="left"/>
      <w:pPr>
        <w:ind w:left="2160" w:hanging="720"/>
      </w:pPr>
      <w:rPr>
        <w:rFonts w:hint="default"/>
        <w:b/>
        <w:b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B7E78B7"/>
    <w:multiLevelType w:val="hybridMultilevel"/>
    <w:tmpl w:val="90E4FAB8"/>
    <w:lvl w:ilvl="0" w:tplc="665C684C">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F997173"/>
    <w:multiLevelType w:val="hybridMultilevel"/>
    <w:tmpl w:val="C652CAF2"/>
    <w:lvl w:ilvl="0" w:tplc="2704283C">
      <w:start w:val="1"/>
      <w:numFmt w:val="lowerRoman"/>
      <w:lvlText w:val="(%1)"/>
      <w:lvlJc w:val="left"/>
      <w:pPr>
        <w:ind w:left="1080" w:hanging="720"/>
      </w:pPr>
      <w:rPr>
        <w:rFonts w:ascii="Times New Roman" w:hAnsi="Times New Roman" w:cs="Times New Roman" w:hint="default"/>
        <w:b/>
        <w:i w:val="0"/>
        <w:iCs w:val="0"/>
        <w:color w:val="auto"/>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5032A15"/>
    <w:multiLevelType w:val="hybridMultilevel"/>
    <w:tmpl w:val="4F4441CE"/>
    <w:lvl w:ilvl="0" w:tplc="40903E7A">
      <w:start w:val="1"/>
      <w:numFmt w:val="low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A60A48"/>
    <w:multiLevelType w:val="hybridMultilevel"/>
    <w:tmpl w:val="E7E25076"/>
    <w:lvl w:ilvl="0" w:tplc="2EA4CB82">
      <w:start w:val="1"/>
      <w:numFmt w:val="decimal"/>
      <w:lvlText w:val="%1."/>
      <w:lvlJc w:val="left"/>
      <w:pPr>
        <w:ind w:left="720" w:hanging="360"/>
      </w:pPr>
      <w:rPr>
        <w:rFonts w:hint="default"/>
        <w:b/>
        <w:bCs w:val="0"/>
      </w:rPr>
    </w:lvl>
    <w:lvl w:ilvl="1" w:tplc="ACE20602">
      <w:start w:val="1"/>
      <w:numFmt w:val="lowerRoman"/>
      <w:lvlText w:val="%2."/>
      <w:lvlJc w:val="right"/>
      <w:pPr>
        <w:ind w:left="1440" w:hanging="360"/>
      </w:pPr>
      <w:rPr>
        <w:b w:val="0"/>
        <w:bCs w:val="0"/>
      </w:rPr>
    </w:lvl>
    <w:lvl w:ilvl="2" w:tplc="151C2800">
      <w:start w:val="1"/>
      <w:numFmt w:val="lowerRoman"/>
      <w:lvlText w:val="%3."/>
      <w:lvlJc w:val="right"/>
      <w:pPr>
        <w:ind w:left="2160" w:hanging="180"/>
      </w:pPr>
      <w:rPr>
        <w:b/>
        <w:bCs/>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68E32313"/>
    <w:multiLevelType w:val="hybridMultilevel"/>
    <w:tmpl w:val="4DC27D70"/>
    <w:lvl w:ilvl="0" w:tplc="59A202A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6B9C7E4F"/>
    <w:multiLevelType w:val="hybridMultilevel"/>
    <w:tmpl w:val="1A5C7BB8"/>
    <w:lvl w:ilvl="0" w:tplc="7930C6B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C9B3274"/>
    <w:multiLevelType w:val="hybridMultilevel"/>
    <w:tmpl w:val="26003EAA"/>
    <w:lvl w:ilvl="0" w:tplc="A344D60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703D1A4A"/>
    <w:multiLevelType w:val="hybridMultilevel"/>
    <w:tmpl w:val="969A1C08"/>
    <w:lvl w:ilvl="0" w:tplc="1F6CEE82">
      <w:start w:val="1"/>
      <w:numFmt w:val="lowerRoman"/>
      <w:lvlText w:val="(%1)"/>
      <w:lvlJc w:val="left"/>
      <w:pPr>
        <w:ind w:left="1004"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71C13F07"/>
    <w:multiLevelType w:val="hybridMultilevel"/>
    <w:tmpl w:val="53AEB256"/>
    <w:lvl w:ilvl="0" w:tplc="9D08AE6C">
      <w:start w:val="8"/>
      <w:numFmt w:val="lowerRoman"/>
      <w:lvlText w:val="(%1)"/>
      <w:lvlJc w:val="left"/>
      <w:pPr>
        <w:ind w:left="1080" w:hanging="72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9BC7498"/>
    <w:multiLevelType w:val="hybridMultilevel"/>
    <w:tmpl w:val="D96817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C436D6D"/>
    <w:multiLevelType w:val="hybridMultilevel"/>
    <w:tmpl w:val="921E00E8"/>
    <w:lvl w:ilvl="0" w:tplc="42D68B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3"/>
  </w:num>
  <w:num w:numId="2">
    <w:abstractNumId w:val="10"/>
  </w:num>
  <w:num w:numId="3">
    <w:abstractNumId w:val="13"/>
  </w:num>
  <w:num w:numId="4">
    <w:abstractNumId w:val="6"/>
  </w:num>
  <w:num w:numId="5">
    <w:abstractNumId w:val="22"/>
  </w:num>
  <w:num w:numId="6">
    <w:abstractNumId w:val="0"/>
  </w:num>
  <w:num w:numId="7">
    <w:abstractNumId w:val="8"/>
  </w:num>
  <w:num w:numId="8">
    <w:abstractNumId w:val="5"/>
  </w:num>
  <w:num w:numId="9">
    <w:abstractNumId w:val="12"/>
  </w:num>
  <w:num w:numId="10">
    <w:abstractNumId w:val="19"/>
  </w:num>
  <w:num w:numId="11">
    <w:abstractNumId w:val="20"/>
  </w:num>
  <w:num w:numId="12">
    <w:abstractNumId w:val="1"/>
  </w:num>
  <w:num w:numId="13">
    <w:abstractNumId w:val="18"/>
  </w:num>
  <w:num w:numId="14">
    <w:abstractNumId w:val="24"/>
  </w:num>
  <w:num w:numId="15">
    <w:abstractNumId w:val="17"/>
  </w:num>
  <w:num w:numId="16">
    <w:abstractNumId w:val="11"/>
  </w:num>
  <w:num w:numId="17">
    <w:abstractNumId w:val="21"/>
  </w:num>
  <w:num w:numId="18">
    <w:abstractNumId w:val="4"/>
  </w:num>
  <w:num w:numId="19">
    <w:abstractNumId w:val="15"/>
  </w:num>
  <w:num w:numId="20">
    <w:abstractNumId w:val="7"/>
  </w:num>
  <w:num w:numId="21">
    <w:abstractNumId w:val="9"/>
  </w:num>
  <w:num w:numId="22">
    <w:abstractNumId w:val="16"/>
  </w:num>
  <w:num w:numId="23">
    <w:abstractNumId w:val="14"/>
  </w:num>
  <w:num w:numId="24">
    <w:abstractNumId w:val="2"/>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TrackFormatting/>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11292"/>
    <w:rsid w:val="0000029C"/>
    <w:rsid w:val="00001623"/>
    <w:rsid w:val="00004B45"/>
    <w:rsid w:val="00005A95"/>
    <w:rsid w:val="000065F2"/>
    <w:rsid w:val="0001094E"/>
    <w:rsid w:val="00012F37"/>
    <w:rsid w:val="0001318F"/>
    <w:rsid w:val="00014B96"/>
    <w:rsid w:val="00015FAD"/>
    <w:rsid w:val="00016EE6"/>
    <w:rsid w:val="00022695"/>
    <w:rsid w:val="00022866"/>
    <w:rsid w:val="00022A02"/>
    <w:rsid w:val="000234D0"/>
    <w:rsid w:val="00023776"/>
    <w:rsid w:val="000241E6"/>
    <w:rsid w:val="0002457E"/>
    <w:rsid w:val="00025589"/>
    <w:rsid w:val="0002614E"/>
    <w:rsid w:val="00026C13"/>
    <w:rsid w:val="000270F8"/>
    <w:rsid w:val="00030590"/>
    <w:rsid w:val="000318C3"/>
    <w:rsid w:val="00032F3A"/>
    <w:rsid w:val="00033606"/>
    <w:rsid w:val="00034283"/>
    <w:rsid w:val="0003495D"/>
    <w:rsid w:val="000406DB"/>
    <w:rsid w:val="00040922"/>
    <w:rsid w:val="00042055"/>
    <w:rsid w:val="000431A5"/>
    <w:rsid w:val="00044155"/>
    <w:rsid w:val="00044C25"/>
    <w:rsid w:val="00045106"/>
    <w:rsid w:val="00045439"/>
    <w:rsid w:val="000456DE"/>
    <w:rsid w:val="00046EAA"/>
    <w:rsid w:val="000474BA"/>
    <w:rsid w:val="00047DE7"/>
    <w:rsid w:val="00047F95"/>
    <w:rsid w:val="000505A9"/>
    <w:rsid w:val="00051EBC"/>
    <w:rsid w:val="00052459"/>
    <w:rsid w:val="0005325B"/>
    <w:rsid w:val="00054AC0"/>
    <w:rsid w:val="000565AE"/>
    <w:rsid w:val="00060274"/>
    <w:rsid w:val="0006044B"/>
    <w:rsid w:val="0006185A"/>
    <w:rsid w:val="0006527E"/>
    <w:rsid w:val="0006585B"/>
    <w:rsid w:val="0007153C"/>
    <w:rsid w:val="000716CA"/>
    <w:rsid w:val="000718F7"/>
    <w:rsid w:val="0007276A"/>
    <w:rsid w:val="00074883"/>
    <w:rsid w:val="00074A17"/>
    <w:rsid w:val="00080B9C"/>
    <w:rsid w:val="0008154C"/>
    <w:rsid w:val="000817C1"/>
    <w:rsid w:val="000817F4"/>
    <w:rsid w:val="00082D86"/>
    <w:rsid w:val="000843DE"/>
    <w:rsid w:val="00087363"/>
    <w:rsid w:val="00087BF9"/>
    <w:rsid w:val="00087CFB"/>
    <w:rsid w:val="00091336"/>
    <w:rsid w:val="00092688"/>
    <w:rsid w:val="000927C9"/>
    <w:rsid w:val="00093C1A"/>
    <w:rsid w:val="000940D5"/>
    <w:rsid w:val="00094852"/>
    <w:rsid w:val="00095B2E"/>
    <w:rsid w:val="00096495"/>
    <w:rsid w:val="00097B47"/>
    <w:rsid w:val="00097BEC"/>
    <w:rsid w:val="000A0656"/>
    <w:rsid w:val="000A30D7"/>
    <w:rsid w:val="000A3952"/>
    <w:rsid w:val="000A3DCC"/>
    <w:rsid w:val="000A4591"/>
    <w:rsid w:val="000A5F2E"/>
    <w:rsid w:val="000A6A49"/>
    <w:rsid w:val="000A6FAD"/>
    <w:rsid w:val="000A7943"/>
    <w:rsid w:val="000B08C6"/>
    <w:rsid w:val="000B0CA0"/>
    <w:rsid w:val="000B2EEF"/>
    <w:rsid w:val="000B3B59"/>
    <w:rsid w:val="000B5E14"/>
    <w:rsid w:val="000B6DFF"/>
    <w:rsid w:val="000C038D"/>
    <w:rsid w:val="000C096E"/>
    <w:rsid w:val="000C0E1C"/>
    <w:rsid w:val="000C25B7"/>
    <w:rsid w:val="000C25D9"/>
    <w:rsid w:val="000C26EE"/>
    <w:rsid w:val="000C3032"/>
    <w:rsid w:val="000C5A83"/>
    <w:rsid w:val="000C6135"/>
    <w:rsid w:val="000D01C1"/>
    <w:rsid w:val="000D04E5"/>
    <w:rsid w:val="000D0BB8"/>
    <w:rsid w:val="000D1EBD"/>
    <w:rsid w:val="000D387B"/>
    <w:rsid w:val="000D3A59"/>
    <w:rsid w:val="000D4A54"/>
    <w:rsid w:val="000D58DD"/>
    <w:rsid w:val="000D5B66"/>
    <w:rsid w:val="000D5E7F"/>
    <w:rsid w:val="000E2559"/>
    <w:rsid w:val="000E3316"/>
    <w:rsid w:val="000E3838"/>
    <w:rsid w:val="000E5544"/>
    <w:rsid w:val="000E5CAC"/>
    <w:rsid w:val="000F01F1"/>
    <w:rsid w:val="000F0322"/>
    <w:rsid w:val="000F16FA"/>
    <w:rsid w:val="000F230B"/>
    <w:rsid w:val="000F24B6"/>
    <w:rsid w:val="000F35C2"/>
    <w:rsid w:val="000F3BB7"/>
    <w:rsid w:val="000F455C"/>
    <w:rsid w:val="000F686F"/>
    <w:rsid w:val="000F770C"/>
    <w:rsid w:val="000F7C1F"/>
    <w:rsid w:val="00101091"/>
    <w:rsid w:val="0010187F"/>
    <w:rsid w:val="0010220B"/>
    <w:rsid w:val="00102890"/>
    <w:rsid w:val="00103550"/>
    <w:rsid w:val="00103943"/>
    <w:rsid w:val="00104671"/>
    <w:rsid w:val="00105087"/>
    <w:rsid w:val="0010569A"/>
    <w:rsid w:val="00106575"/>
    <w:rsid w:val="001072AB"/>
    <w:rsid w:val="00110B8D"/>
    <w:rsid w:val="00111882"/>
    <w:rsid w:val="00111954"/>
    <w:rsid w:val="00114B2F"/>
    <w:rsid w:val="001151A4"/>
    <w:rsid w:val="0011677E"/>
    <w:rsid w:val="0011684A"/>
    <w:rsid w:val="001174D6"/>
    <w:rsid w:val="00121047"/>
    <w:rsid w:val="00123334"/>
    <w:rsid w:val="00123548"/>
    <w:rsid w:val="001236A5"/>
    <w:rsid w:val="0012518C"/>
    <w:rsid w:val="00125783"/>
    <w:rsid w:val="0012679A"/>
    <w:rsid w:val="0013034D"/>
    <w:rsid w:val="0013062D"/>
    <w:rsid w:val="001310A8"/>
    <w:rsid w:val="00131AB6"/>
    <w:rsid w:val="00132E0E"/>
    <w:rsid w:val="00134E12"/>
    <w:rsid w:val="00136A51"/>
    <w:rsid w:val="00136FA6"/>
    <w:rsid w:val="0014122B"/>
    <w:rsid w:val="0014165B"/>
    <w:rsid w:val="0014191C"/>
    <w:rsid w:val="0014263F"/>
    <w:rsid w:val="001433DB"/>
    <w:rsid w:val="00143B3F"/>
    <w:rsid w:val="00152153"/>
    <w:rsid w:val="00152239"/>
    <w:rsid w:val="00153688"/>
    <w:rsid w:val="001544D2"/>
    <w:rsid w:val="0015749A"/>
    <w:rsid w:val="001579FA"/>
    <w:rsid w:val="00160C76"/>
    <w:rsid w:val="00160D34"/>
    <w:rsid w:val="00162533"/>
    <w:rsid w:val="001635BF"/>
    <w:rsid w:val="001651ED"/>
    <w:rsid w:val="00166173"/>
    <w:rsid w:val="00166C1D"/>
    <w:rsid w:val="00170983"/>
    <w:rsid w:val="00170FE7"/>
    <w:rsid w:val="00172B9D"/>
    <w:rsid w:val="001730AF"/>
    <w:rsid w:val="00174C4F"/>
    <w:rsid w:val="00174E2A"/>
    <w:rsid w:val="00175128"/>
    <w:rsid w:val="001769A3"/>
    <w:rsid w:val="0017749E"/>
    <w:rsid w:val="001805B7"/>
    <w:rsid w:val="001812E8"/>
    <w:rsid w:val="00181EDE"/>
    <w:rsid w:val="00181FE8"/>
    <w:rsid w:val="0018261F"/>
    <w:rsid w:val="001834F6"/>
    <w:rsid w:val="0018354F"/>
    <w:rsid w:val="0019065D"/>
    <w:rsid w:val="0019143F"/>
    <w:rsid w:val="001924B3"/>
    <w:rsid w:val="00193554"/>
    <w:rsid w:val="00193B06"/>
    <w:rsid w:val="00194BF6"/>
    <w:rsid w:val="00194D69"/>
    <w:rsid w:val="00196A1D"/>
    <w:rsid w:val="00196A26"/>
    <w:rsid w:val="00197538"/>
    <w:rsid w:val="00197AE3"/>
    <w:rsid w:val="001A0332"/>
    <w:rsid w:val="001A2201"/>
    <w:rsid w:val="001A2D0C"/>
    <w:rsid w:val="001A6C82"/>
    <w:rsid w:val="001A6D94"/>
    <w:rsid w:val="001A7D91"/>
    <w:rsid w:val="001B0A48"/>
    <w:rsid w:val="001B0CE2"/>
    <w:rsid w:val="001B38C3"/>
    <w:rsid w:val="001B3D9C"/>
    <w:rsid w:val="001B691D"/>
    <w:rsid w:val="001B74AD"/>
    <w:rsid w:val="001C1A21"/>
    <w:rsid w:val="001C1F9F"/>
    <w:rsid w:val="001C2664"/>
    <w:rsid w:val="001C48BC"/>
    <w:rsid w:val="001C5DE8"/>
    <w:rsid w:val="001C7ED3"/>
    <w:rsid w:val="001D0304"/>
    <w:rsid w:val="001D06C1"/>
    <w:rsid w:val="001D2FD5"/>
    <w:rsid w:val="001D438C"/>
    <w:rsid w:val="001E03E8"/>
    <w:rsid w:val="001E0C1E"/>
    <w:rsid w:val="001E32D0"/>
    <w:rsid w:val="001E68BE"/>
    <w:rsid w:val="001E71B5"/>
    <w:rsid w:val="001F14E5"/>
    <w:rsid w:val="001F1D64"/>
    <w:rsid w:val="001F2747"/>
    <w:rsid w:val="001F3813"/>
    <w:rsid w:val="001F3FAA"/>
    <w:rsid w:val="001F5A7F"/>
    <w:rsid w:val="001F65B1"/>
    <w:rsid w:val="00201F7B"/>
    <w:rsid w:val="002026D0"/>
    <w:rsid w:val="002035CB"/>
    <w:rsid w:val="00206479"/>
    <w:rsid w:val="00212F2B"/>
    <w:rsid w:val="00213EB6"/>
    <w:rsid w:val="00214CFE"/>
    <w:rsid w:val="00216970"/>
    <w:rsid w:val="0021705F"/>
    <w:rsid w:val="002201CC"/>
    <w:rsid w:val="00223ED4"/>
    <w:rsid w:val="0022628F"/>
    <w:rsid w:val="0022715D"/>
    <w:rsid w:val="00232F27"/>
    <w:rsid w:val="00234589"/>
    <w:rsid w:val="00236A2D"/>
    <w:rsid w:val="00240509"/>
    <w:rsid w:val="0024147B"/>
    <w:rsid w:val="002429C3"/>
    <w:rsid w:val="00243879"/>
    <w:rsid w:val="00244DC5"/>
    <w:rsid w:val="00245882"/>
    <w:rsid w:val="00250E7B"/>
    <w:rsid w:val="00252B21"/>
    <w:rsid w:val="0025328E"/>
    <w:rsid w:val="00253339"/>
    <w:rsid w:val="0025485D"/>
    <w:rsid w:val="00255608"/>
    <w:rsid w:val="00255FAC"/>
    <w:rsid w:val="00261D85"/>
    <w:rsid w:val="00261DFB"/>
    <w:rsid w:val="00261EBA"/>
    <w:rsid w:val="0026261F"/>
    <w:rsid w:val="00262CE8"/>
    <w:rsid w:val="00263C96"/>
    <w:rsid w:val="002641DC"/>
    <w:rsid w:val="002642DC"/>
    <w:rsid w:val="00264881"/>
    <w:rsid w:val="002648BB"/>
    <w:rsid w:val="00264E54"/>
    <w:rsid w:val="002651AE"/>
    <w:rsid w:val="002667CE"/>
    <w:rsid w:val="0026709D"/>
    <w:rsid w:val="0026755C"/>
    <w:rsid w:val="002679D2"/>
    <w:rsid w:val="00270E1A"/>
    <w:rsid w:val="0027132A"/>
    <w:rsid w:val="00271C5E"/>
    <w:rsid w:val="002721FE"/>
    <w:rsid w:val="0027288F"/>
    <w:rsid w:val="00272A23"/>
    <w:rsid w:val="00275400"/>
    <w:rsid w:val="00275436"/>
    <w:rsid w:val="00275BEA"/>
    <w:rsid w:val="00275F24"/>
    <w:rsid w:val="00277C80"/>
    <w:rsid w:val="0028107F"/>
    <w:rsid w:val="0028118E"/>
    <w:rsid w:val="00281C57"/>
    <w:rsid w:val="00282889"/>
    <w:rsid w:val="00282A41"/>
    <w:rsid w:val="00283766"/>
    <w:rsid w:val="00283FBF"/>
    <w:rsid w:val="0028763E"/>
    <w:rsid w:val="002877A9"/>
    <w:rsid w:val="00287A34"/>
    <w:rsid w:val="00295C46"/>
    <w:rsid w:val="00296BED"/>
    <w:rsid w:val="002A03AC"/>
    <w:rsid w:val="002A1338"/>
    <w:rsid w:val="002A13CA"/>
    <w:rsid w:val="002A26E5"/>
    <w:rsid w:val="002A27FD"/>
    <w:rsid w:val="002A4510"/>
    <w:rsid w:val="002A47E0"/>
    <w:rsid w:val="002A4B51"/>
    <w:rsid w:val="002A5227"/>
    <w:rsid w:val="002A5D49"/>
    <w:rsid w:val="002A724D"/>
    <w:rsid w:val="002A740F"/>
    <w:rsid w:val="002A7BCF"/>
    <w:rsid w:val="002B0133"/>
    <w:rsid w:val="002B1D27"/>
    <w:rsid w:val="002B66C1"/>
    <w:rsid w:val="002B6D75"/>
    <w:rsid w:val="002B6D92"/>
    <w:rsid w:val="002B705E"/>
    <w:rsid w:val="002B7682"/>
    <w:rsid w:val="002C01FB"/>
    <w:rsid w:val="002C0B35"/>
    <w:rsid w:val="002C124F"/>
    <w:rsid w:val="002C18CC"/>
    <w:rsid w:val="002C1A12"/>
    <w:rsid w:val="002C47D7"/>
    <w:rsid w:val="002C6A63"/>
    <w:rsid w:val="002C71F8"/>
    <w:rsid w:val="002D3BEA"/>
    <w:rsid w:val="002D7CD7"/>
    <w:rsid w:val="002E02FB"/>
    <w:rsid w:val="002E1B2D"/>
    <w:rsid w:val="002E2E88"/>
    <w:rsid w:val="002E32EE"/>
    <w:rsid w:val="002E4FA2"/>
    <w:rsid w:val="002E52D5"/>
    <w:rsid w:val="002E597C"/>
    <w:rsid w:val="002E622B"/>
    <w:rsid w:val="002E67C6"/>
    <w:rsid w:val="002E73C7"/>
    <w:rsid w:val="002E763D"/>
    <w:rsid w:val="002E7F01"/>
    <w:rsid w:val="002F1326"/>
    <w:rsid w:val="002F28B4"/>
    <w:rsid w:val="002F2CF3"/>
    <w:rsid w:val="002F442F"/>
    <w:rsid w:val="002F4CA9"/>
    <w:rsid w:val="002F5D14"/>
    <w:rsid w:val="002F631C"/>
    <w:rsid w:val="002F7542"/>
    <w:rsid w:val="002F7576"/>
    <w:rsid w:val="00300221"/>
    <w:rsid w:val="00300493"/>
    <w:rsid w:val="00300683"/>
    <w:rsid w:val="00301689"/>
    <w:rsid w:val="00302222"/>
    <w:rsid w:val="00302664"/>
    <w:rsid w:val="00303B99"/>
    <w:rsid w:val="00305A8D"/>
    <w:rsid w:val="0030615C"/>
    <w:rsid w:val="0030696B"/>
    <w:rsid w:val="00306BCB"/>
    <w:rsid w:val="0030774C"/>
    <w:rsid w:val="0031614C"/>
    <w:rsid w:val="003169A5"/>
    <w:rsid w:val="00316B7A"/>
    <w:rsid w:val="00317566"/>
    <w:rsid w:val="00317F82"/>
    <w:rsid w:val="003207D5"/>
    <w:rsid w:val="00323029"/>
    <w:rsid w:val="00324BC2"/>
    <w:rsid w:val="00327FBD"/>
    <w:rsid w:val="00331282"/>
    <w:rsid w:val="0033361E"/>
    <w:rsid w:val="003349E0"/>
    <w:rsid w:val="00335504"/>
    <w:rsid w:val="003359BC"/>
    <w:rsid w:val="003370FD"/>
    <w:rsid w:val="00337F8F"/>
    <w:rsid w:val="00340006"/>
    <w:rsid w:val="00340407"/>
    <w:rsid w:val="0034141C"/>
    <w:rsid w:val="00342EA8"/>
    <w:rsid w:val="00343B55"/>
    <w:rsid w:val="003442AC"/>
    <w:rsid w:val="003443B9"/>
    <w:rsid w:val="00345199"/>
    <w:rsid w:val="003503D6"/>
    <w:rsid w:val="00351384"/>
    <w:rsid w:val="0035159E"/>
    <w:rsid w:val="00352D31"/>
    <w:rsid w:val="00353A37"/>
    <w:rsid w:val="003540C9"/>
    <w:rsid w:val="00354C77"/>
    <w:rsid w:val="003560BB"/>
    <w:rsid w:val="0035622D"/>
    <w:rsid w:val="003570DC"/>
    <w:rsid w:val="003571F7"/>
    <w:rsid w:val="00357D00"/>
    <w:rsid w:val="003600CD"/>
    <w:rsid w:val="003607EC"/>
    <w:rsid w:val="00361354"/>
    <w:rsid w:val="00361707"/>
    <w:rsid w:val="003628D5"/>
    <w:rsid w:val="00363D36"/>
    <w:rsid w:val="00364565"/>
    <w:rsid w:val="003651A3"/>
    <w:rsid w:val="00365B6F"/>
    <w:rsid w:val="0036737A"/>
    <w:rsid w:val="00370A01"/>
    <w:rsid w:val="00372AFB"/>
    <w:rsid w:val="00376AD0"/>
    <w:rsid w:val="0038015A"/>
    <w:rsid w:val="00380AF0"/>
    <w:rsid w:val="003821B2"/>
    <w:rsid w:val="003826D8"/>
    <w:rsid w:val="0038342F"/>
    <w:rsid w:val="0038741E"/>
    <w:rsid w:val="00387976"/>
    <w:rsid w:val="003936F7"/>
    <w:rsid w:val="003A04F3"/>
    <w:rsid w:val="003A0981"/>
    <w:rsid w:val="003A0D3A"/>
    <w:rsid w:val="003A2032"/>
    <w:rsid w:val="003A2931"/>
    <w:rsid w:val="003A2D66"/>
    <w:rsid w:val="003A533B"/>
    <w:rsid w:val="003A6375"/>
    <w:rsid w:val="003A6DE2"/>
    <w:rsid w:val="003B1E85"/>
    <w:rsid w:val="003B29E7"/>
    <w:rsid w:val="003B2D41"/>
    <w:rsid w:val="003B2EA2"/>
    <w:rsid w:val="003B3487"/>
    <w:rsid w:val="003B3ED3"/>
    <w:rsid w:val="003B5491"/>
    <w:rsid w:val="003B6D76"/>
    <w:rsid w:val="003B6D7C"/>
    <w:rsid w:val="003C102D"/>
    <w:rsid w:val="003C1E31"/>
    <w:rsid w:val="003C313A"/>
    <w:rsid w:val="003C4C03"/>
    <w:rsid w:val="003C5077"/>
    <w:rsid w:val="003C5A29"/>
    <w:rsid w:val="003C66CE"/>
    <w:rsid w:val="003D0C2A"/>
    <w:rsid w:val="003D147A"/>
    <w:rsid w:val="003D64B9"/>
    <w:rsid w:val="003E2442"/>
    <w:rsid w:val="003E2AF6"/>
    <w:rsid w:val="003E346D"/>
    <w:rsid w:val="003E39A6"/>
    <w:rsid w:val="003E6B77"/>
    <w:rsid w:val="003F03C1"/>
    <w:rsid w:val="003F10B9"/>
    <w:rsid w:val="003F1385"/>
    <w:rsid w:val="003F2338"/>
    <w:rsid w:val="003F2A06"/>
    <w:rsid w:val="003F3F9D"/>
    <w:rsid w:val="003F54FF"/>
    <w:rsid w:val="003F5B8F"/>
    <w:rsid w:val="003F63FE"/>
    <w:rsid w:val="003F7787"/>
    <w:rsid w:val="003F79DA"/>
    <w:rsid w:val="0040081F"/>
    <w:rsid w:val="004024AA"/>
    <w:rsid w:val="00407FD6"/>
    <w:rsid w:val="00411292"/>
    <w:rsid w:val="00411947"/>
    <w:rsid w:val="00412FBE"/>
    <w:rsid w:val="004130B5"/>
    <w:rsid w:val="00413B6C"/>
    <w:rsid w:val="00413CCA"/>
    <w:rsid w:val="00414304"/>
    <w:rsid w:val="004164B0"/>
    <w:rsid w:val="004171E9"/>
    <w:rsid w:val="00424EEA"/>
    <w:rsid w:val="004252A0"/>
    <w:rsid w:val="00425C49"/>
    <w:rsid w:val="0042648B"/>
    <w:rsid w:val="004274AD"/>
    <w:rsid w:val="00427C5E"/>
    <w:rsid w:val="00431155"/>
    <w:rsid w:val="00431344"/>
    <w:rsid w:val="00432E1F"/>
    <w:rsid w:val="004332D1"/>
    <w:rsid w:val="00433AA4"/>
    <w:rsid w:val="00434952"/>
    <w:rsid w:val="00434CAB"/>
    <w:rsid w:val="00434E60"/>
    <w:rsid w:val="00435A23"/>
    <w:rsid w:val="00440959"/>
    <w:rsid w:val="00441591"/>
    <w:rsid w:val="00441997"/>
    <w:rsid w:val="00442795"/>
    <w:rsid w:val="00444DA0"/>
    <w:rsid w:val="0044656F"/>
    <w:rsid w:val="004510B2"/>
    <w:rsid w:val="00451145"/>
    <w:rsid w:val="004512E8"/>
    <w:rsid w:val="00452681"/>
    <w:rsid w:val="004526BC"/>
    <w:rsid w:val="00453E93"/>
    <w:rsid w:val="00453EF2"/>
    <w:rsid w:val="00455937"/>
    <w:rsid w:val="0045688E"/>
    <w:rsid w:val="00456ADA"/>
    <w:rsid w:val="00456DAA"/>
    <w:rsid w:val="00462B0E"/>
    <w:rsid w:val="00463754"/>
    <w:rsid w:val="00464735"/>
    <w:rsid w:val="004649CD"/>
    <w:rsid w:val="00465670"/>
    <w:rsid w:val="0046608B"/>
    <w:rsid w:val="004708D3"/>
    <w:rsid w:val="004715A3"/>
    <w:rsid w:val="004716A5"/>
    <w:rsid w:val="00472131"/>
    <w:rsid w:val="004732A2"/>
    <w:rsid w:val="004734DC"/>
    <w:rsid w:val="00475599"/>
    <w:rsid w:val="0047638D"/>
    <w:rsid w:val="00477500"/>
    <w:rsid w:val="00480243"/>
    <w:rsid w:val="00480848"/>
    <w:rsid w:val="004813C0"/>
    <w:rsid w:val="00481A92"/>
    <w:rsid w:val="00481DF6"/>
    <w:rsid w:val="00483E5D"/>
    <w:rsid w:val="00484A16"/>
    <w:rsid w:val="00485434"/>
    <w:rsid w:val="0048718C"/>
    <w:rsid w:val="0048787E"/>
    <w:rsid w:val="00487DEB"/>
    <w:rsid w:val="00487F02"/>
    <w:rsid w:val="00490313"/>
    <w:rsid w:val="00490839"/>
    <w:rsid w:val="00490D3E"/>
    <w:rsid w:val="00493238"/>
    <w:rsid w:val="00493256"/>
    <w:rsid w:val="00497203"/>
    <w:rsid w:val="004974D0"/>
    <w:rsid w:val="004A19E5"/>
    <w:rsid w:val="004A1BCC"/>
    <w:rsid w:val="004A390D"/>
    <w:rsid w:val="004A41EC"/>
    <w:rsid w:val="004A43D9"/>
    <w:rsid w:val="004A505C"/>
    <w:rsid w:val="004A66F5"/>
    <w:rsid w:val="004B0E09"/>
    <w:rsid w:val="004B1283"/>
    <w:rsid w:val="004B21DE"/>
    <w:rsid w:val="004B24B6"/>
    <w:rsid w:val="004B2BA5"/>
    <w:rsid w:val="004B32E6"/>
    <w:rsid w:val="004B44DA"/>
    <w:rsid w:val="004B4BC7"/>
    <w:rsid w:val="004B4CCE"/>
    <w:rsid w:val="004B58B4"/>
    <w:rsid w:val="004B5C63"/>
    <w:rsid w:val="004B6235"/>
    <w:rsid w:val="004B6681"/>
    <w:rsid w:val="004B7348"/>
    <w:rsid w:val="004B77A5"/>
    <w:rsid w:val="004B78B1"/>
    <w:rsid w:val="004B7ED1"/>
    <w:rsid w:val="004C0AC9"/>
    <w:rsid w:val="004C0EEB"/>
    <w:rsid w:val="004C1023"/>
    <w:rsid w:val="004C297D"/>
    <w:rsid w:val="004C38A8"/>
    <w:rsid w:val="004C392E"/>
    <w:rsid w:val="004C5A14"/>
    <w:rsid w:val="004C6857"/>
    <w:rsid w:val="004D06A1"/>
    <w:rsid w:val="004D122D"/>
    <w:rsid w:val="004D16E9"/>
    <w:rsid w:val="004D1C10"/>
    <w:rsid w:val="004D2063"/>
    <w:rsid w:val="004D33C7"/>
    <w:rsid w:val="004D44ED"/>
    <w:rsid w:val="004E2145"/>
    <w:rsid w:val="004E346E"/>
    <w:rsid w:val="004E3C50"/>
    <w:rsid w:val="004E41CA"/>
    <w:rsid w:val="004E474F"/>
    <w:rsid w:val="004E47F6"/>
    <w:rsid w:val="004E5A7A"/>
    <w:rsid w:val="004F061E"/>
    <w:rsid w:val="004F098C"/>
    <w:rsid w:val="004F0FD9"/>
    <w:rsid w:val="004F1077"/>
    <w:rsid w:val="004F1220"/>
    <w:rsid w:val="004F12F7"/>
    <w:rsid w:val="004F152A"/>
    <w:rsid w:val="004F157F"/>
    <w:rsid w:val="004F1941"/>
    <w:rsid w:val="004F245F"/>
    <w:rsid w:val="004F369C"/>
    <w:rsid w:val="004F3BE7"/>
    <w:rsid w:val="004F3C38"/>
    <w:rsid w:val="004F3E7E"/>
    <w:rsid w:val="004F53F5"/>
    <w:rsid w:val="004F7C3E"/>
    <w:rsid w:val="00500543"/>
    <w:rsid w:val="0050293D"/>
    <w:rsid w:val="0050534C"/>
    <w:rsid w:val="00505BFA"/>
    <w:rsid w:val="00505CBB"/>
    <w:rsid w:val="005079C1"/>
    <w:rsid w:val="0051064A"/>
    <w:rsid w:val="00510811"/>
    <w:rsid w:val="00511CEC"/>
    <w:rsid w:val="005136D7"/>
    <w:rsid w:val="005139C3"/>
    <w:rsid w:val="00513E04"/>
    <w:rsid w:val="00514B91"/>
    <w:rsid w:val="005155B9"/>
    <w:rsid w:val="0051683F"/>
    <w:rsid w:val="0051696C"/>
    <w:rsid w:val="005176A4"/>
    <w:rsid w:val="00517867"/>
    <w:rsid w:val="005178D6"/>
    <w:rsid w:val="00520190"/>
    <w:rsid w:val="00521A34"/>
    <w:rsid w:val="00524D90"/>
    <w:rsid w:val="00525C71"/>
    <w:rsid w:val="005317D9"/>
    <w:rsid w:val="005330AD"/>
    <w:rsid w:val="00533321"/>
    <w:rsid w:val="00533D80"/>
    <w:rsid w:val="005343A0"/>
    <w:rsid w:val="00534805"/>
    <w:rsid w:val="005370C6"/>
    <w:rsid w:val="00537E70"/>
    <w:rsid w:val="00540772"/>
    <w:rsid w:val="0054130A"/>
    <w:rsid w:val="00541368"/>
    <w:rsid w:val="005425E9"/>
    <w:rsid w:val="0054268C"/>
    <w:rsid w:val="00542810"/>
    <w:rsid w:val="00543F57"/>
    <w:rsid w:val="00544530"/>
    <w:rsid w:val="00544D0A"/>
    <w:rsid w:val="00545A21"/>
    <w:rsid w:val="00546BF9"/>
    <w:rsid w:val="00550229"/>
    <w:rsid w:val="0055049A"/>
    <w:rsid w:val="005537B5"/>
    <w:rsid w:val="00553DB2"/>
    <w:rsid w:val="00553F85"/>
    <w:rsid w:val="00554126"/>
    <w:rsid w:val="00555968"/>
    <w:rsid w:val="00555D20"/>
    <w:rsid w:val="00555D6F"/>
    <w:rsid w:val="00555E58"/>
    <w:rsid w:val="00557F90"/>
    <w:rsid w:val="0056056F"/>
    <w:rsid w:val="00561675"/>
    <w:rsid w:val="00561B0D"/>
    <w:rsid w:val="0056292E"/>
    <w:rsid w:val="00563726"/>
    <w:rsid w:val="00565C77"/>
    <w:rsid w:val="00566789"/>
    <w:rsid w:val="00567323"/>
    <w:rsid w:val="00567507"/>
    <w:rsid w:val="00571326"/>
    <w:rsid w:val="00571D65"/>
    <w:rsid w:val="005721D2"/>
    <w:rsid w:val="00572F83"/>
    <w:rsid w:val="00574292"/>
    <w:rsid w:val="00574734"/>
    <w:rsid w:val="005754AE"/>
    <w:rsid w:val="00575EE4"/>
    <w:rsid w:val="0057746E"/>
    <w:rsid w:val="0057789E"/>
    <w:rsid w:val="0058069C"/>
    <w:rsid w:val="00582FB1"/>
    <w:rsid w:val="00586EA8"/>
    <w:rsid w:val="00587108"/>
    <w:rsid w:val="0059073A"/>
    <w:rsid w:val="00590961"/>
    <w:rsid w:val="00590A8F"/>
    <w:rsid w:val="00592398"/>
    <w:rsid w:val="00592401"/>
    <w:rsid w:val="00592525"/>
    <w:rsid w:val="005926FE"/>
    <w:rsid w:val="00592BE7"/>
    <w:rsid w:val="0059713D"/>
    <w:rsid w:val="005A0999"/>
    <w:rsid w:val="005A1621"/>
    <w:rsid w:val="005A24A4"/>
    <w:rsid w:val="005A357B"/>
    <w:rsid w:val="005A391A"/>
    <w:rsid w:val="005A70B7"/>
    <w:rsid w:val="005A7BBB"/>
    <w:rsid w:val="005A7E6E"/>
    <w:rsid w:val="005B07DB"/>
    <w:rsid w:val="005B08B0"/>
    <w:rsid w:val="005B1862"/>
    <w:rsid w:val="005B361D"/>
    <w:rsid w:val="005B471C"/>
    <w:rsid w:val="005B490A"/>
    <w:rsid w:val="005B60D5"/>
    <w:rsid w:val="005B7B33"/>
    <w:rsid w:val="005C302F"/>
    <w:rsid w:val="005C3167"/>
    <w:rsid w:val="005C33C1"/>
    <w:rsid w:val="005C3D24"/>
    <w:rsid w:val="005C4737"/>
    <w:rsid w:val="005C6138"/>
    <w:rsid w:val="005C667A"/>
    <w:rsid w:val="005C700A"/>
    <w:rsid w:val="005C7C21"/>
    <w:rsid w:val="005D0346"/>
    <w:rsid w:val="005D1D04"/>
    <w:rsid w:val="005D51A1"/>
    <w:rsid w:val="005D621A"/>
    <w:rsid w:val="005D6D67"/>
    <w:rsid w:val="005E2A94"/>
    <w:rsid w:val="005E3244"/>
    <w:rsid w:val="005E46B9"/>
    <w:rsid w:val="005E4C24"/>
    <w:rsid w:val="005E4C4E"/>
    <w:rsid w:val="005E5B38"/>
    <w:rsid w:val="005E5DA0"/>
    <w:rsid w:val="005E6073"/>
    <w:rsid w:val="005F1134"/>
    <w:rsid w:val="005F246D"/>
    <w:rsid w:val="005F4C73"/>
    <w:rsid w:val="005F6627"/>
    <w:rsid w:val="0060048B"/>
    <w:rsid w:val="00601AF7"/>
    <w:rsid w:val="00602A2B"/>
    <w:rsid w:val="0060325A"/>
    <w:rsid w:val="00603A61"/>
    <w:rsid w:val="00604692"/>
    <w:rsid w:val="00607114"/>
    <w:rsid w:val="006102D6"/>
    <w:rsid w:val="00611D2A"/>
    <w:rsid w:val="0061315C"/>
    <w:rsid w:val="00614718"/>
    <w:rsid w:val="00614A9E"/>
    <w:rsid w:val="00615D55"/>
    <w:rsid w:val="00616A3D"/>
    <w:rsid w:val="006173EB"/>
    <w:rsid w:val="00620861"/>
    <w:rsid w:val="0062462D"/>
    <w:rsid w:val="00624825"/>
    <w:rsid w:val="00624CA6"/>
    <w:rsid w:val="00625116"/>
    <w:rsid w:val="00625949"/>
    <w:rsid w:val="00627212"/>
    <w:rsid w:val="00631584"/>
    <w:rsid w:val="00631DD4"/>
    <w:rsid w:val="00634397"/>
    <w:rsid w:val="00634650"/>
    <w:rsid w:val="00634902"/>
    <w:rsid w:val="006350AD"/>
    <w:rsid w:val="00635288"/>
    <w:rsid w:val="00635FD6"/>
    <w:rsid w:val="006362D6"/>
    <w:rsid w:val="006363E5"/>
    <w:rsid w:val="00642922"/>
    <w:rsid w:val="00643872"/>
    <w:rsid w:val="00644805"/>
    <w:rsid w:val="0064566D"/>
    <w:rsid w:val="006459D5"/>
    <w:rsid w:val="00645DD5"/>
    <w:rsid w:val="006468EA"/>
    <w:rsid w:val="00646F6E"/>
    <w:rsid w:val="006503DA"/>
    <w:rsid w:val="0065078F"/>
    <w:rsid w:val="00651ABB"/>
    <w:rsid w:val="00651C82"/>
    <w:rsid w:val="00652776"/>
    <w:rsid w:val="00653837"/>
    <w:rsid w:val="0065390E"/>
    <w:rsid w:val="006547A9"/>
    <w:rsid w:val="0065546E"/>
    <w:rsid w:val="00655B5E"/>
    <w:rsid w:val="006562FD"/>
    <w:rsid w:val="0065646B"/>
    <w:rsid w:val="006574AD"/>
    <w:rsid w:val="0066030B"/>
    <w:rsid w:val="006614B6"/>
    <w:rsid w:val="00661E8C"/>
    <w:rsid w:val="00662A7E"/>
    <w:rsid w:val="006641CD"/>
    <w:rsid w:val="00664FB7"/>
    <w:rsid w:val="00665D35"/>
    <w:rsid w:val="00671D9A"/>
    <w:rsid w:val="006731EF"/>
    <w:rsid w:val="00675062"/>
    <w:rsid w:val="006770C4"/>
    <w:rsid w:val="006779B9"/>
    <w:rsid w:val="00680925"/>
    <w:rsid w:val="00681396"/>
    <w:rsid w:val="00681C7A"/>
    <w:rsid w:val="006822A1"/>
    <w:rsid w:val="006823F8"/>
    <w:rsid w:val="0068778F"/>
    <w:rsid w:val="00690E81"/>
    <w:rsid w:val="00691CA3"/>
    <w:rsid w:val="006927FA"/>
    <w:rsid w:val="00693C59"/>
    <w:rsid w:val="00696FA9"/>
    <w:rsid w:val="00697A61"/>
    <w:rsid w:val="006A0018"/>
    <w:rsid w:val="006A02DB"/>
    <w:rsid w:val="006A10D6"/>
    <w:rsid w:val="006A16C4"/>
    <w:rsid w:val="006A18AF"/>
    <w:rsid w:val="006A2FE3"/>
    <w:rsid w:val="006A3D44"/>
    <w:rsid w:val="006A5843"/>
    <w:rsid w:val="006A639C"/>
    <w:rsid w:val="006A6B60"/>
    <w:rsid w:val="006A6B89"/>
    <w:rsid w:val="006A7A63"/>
    <w:rsid w:val="006B02C9"/>
    <w:rsid w:val="006B0390"/>
    <w:rsid w:val="006B1FE6"/>
    <w:rsid w:val="006B2689"/>
    <w:rsid w:val="006B2F17"/>
    <w:rsid w:val="006B6DAC"/>
    <w:rsid w:val="006B76CC"/>
    <w:rsid w:val="006C0AA4"/>
    <w:rsid w:val="006C1B7B"/>
    <w:rsid w:val="006C1D7C"/>
    <w:rsid w:val="006C2133"/>
    <w:rsid w:val="006C23A7"/>
    <w:rsid w:val="006C2D40"/>
    <w:rsid w:val="006C37D8"/>
    <w:rsid w:val="006C4A49"/>
    <w:rsid w:val="006C4F8A"/>
    <w:rsid w:val="006C5129"/>
    <w:rsid w:val="006C7A17"/>
    <w:rsid w:val="006D10C4"/>
    <w:rsid w:val="006D1219"/>
    <w:rsid w:val="006D1F78"/>
    <w:rsid w:val="006D3547"/>
    <w:rsid w:val="006D4BDB"/>
    <w:rsid w:val="006E0D9C"/>
    <w:rsid w:val="006E199E"/>
    <w:rsid w:val="006E73BA"/>
    <w:rsid w:val="006F056D"/>
    <w:rsid w:val="006F10E3"/>
    <w:rsid w:val="006F1ACA"/>
    <w:rsid w:val="006F1B99"/>
    <w:rsid w:val="006F1DCD"/>
    <w:rsid w:val="006F26DD"/>
    <w:rsid w:val="006F27E9"/>
    <w:rsid w:val="006F2E62"/>
    <w:rsid w:val="006F4E57"/>
    <w:rsid w:val="006F52B7"/>
    <w:rsid w:val="006F68DF"/>
    <w:rsid w:val="006F761D"/>
    <w:rsid w:val="006F7B06"/>
    <w:rsid w:val="007004FD"/>
    <w:rsid w:val="00700D82"/>
    <w:rsid w:val="00701097"/>
    <w:rsid w:val="007011E7"/>
    <w:rsid w:val="00701503"/>
    <w:rsid w:val="0070194C"/>
    <w:rsid w:val="00704533"/>
    <w:rsid w:val="00705684"/>
    <w:rsid w:val="00707247"/>
    <w:rsid w:val="0070754C"/>
    <w:rsid w:val="007078E0"/>
    <w:rsid w:val="0071090E"/>
    <w:rsid w:val="007109B8"/>
    <w:rsid w:val="00710EF4"/>
    <w:rsid w:val="0071103F"/>
    <w:rsid w:val="007129A9"/>
    <w:rsid w:val="00713001"/>
    <w:rsid w:val="007158A8"/>
    <w:rsid w:val="007161BA"/>
    <w:rsid w:val="0071633D"/>
    <w:rsid w:val="00716EE0"/>
    <w:rsid w:val="007178F0"/>
    <w:rsid w:val="007200F7"/>
    <w:rsid w:val="0072097D"/>
    <w:rsid w:val="00720BC6"/>
    <w:rsid w:val="0072227A"/>
    <w:rsid w:val="00722551"/>
    <w:rsid w:val="00722829"/>
    <w:rsid w:val="0072439C"/>
    <w:rsid w:val="00726A5B"/>
    <w:rsid w:val="00726C18"/>
    <w:rsid w:val="00727E42"/>
    <w:rsid w:val="00730CB6"/>
    <w:rsid w:val="0073390F"/>
    <w:rsid w:val="00733EC3"/>
    <w:rsid w:val="0073585A"/>
    <w:rsid w:val="0073617E"/>
    <w:rsid w:val="00736371"/>
    <w:rsid w:val="00736763"/>
    <w:rsid w:val="0073783F"/>
    <w:rsid w:val="00744DE3"/>
    <w:rsid w:val="00745293"/>
    <w:rsid w:val="0075088A"/>
    <w:rsid w:val="00753247"/>
    <w:rsid w:val="007556C8"/>
    <w:rsid w:val="0076005C"/>
    <w:rsid w:val="00761403"/>
    <w:rsid w:val="00761F6A"/>
    <w:rsid w:val="0076212C"/>
    <w:rsid w:val="007624FF"/>
    <w:rsid w:val="00762ADE"/>
    <w:rsid w:val="00763CA2"/>
    <w:rsid w:val="007671A4"/>
    <w:rsid w:val="007677C0"/>
    <w:rsid w:val="00772A8A"/>
    <w:rsid w:val="00772F11"/>
    <w:rsid w:val="00774C8C"/>
    <w:rsid w:val="00777AEB"/>
    <w:rsid w:val="00780D6E"/>
    <w:rsid w:val="007828D6"/>
    <w:rsid w:val="00783F17"/>
    <w:rsid w:val="007853A8"/>
    <w:rsid w:val="00785CA2"/>
    <w:rsid w:val="00786E47"/>
    <w:rsid w:val="00787195"/>
    <w:rsid w:val="00787CEC"/>
    <w:rsid w:val="00797FAD"/>
    <w:rsid w:val="007A5581"/>
    <w:rsid w:val="007A6387"/>
    <w:rsid w:val="007A64F6"/>
    <w:rsid w:val="007A7139"/>
    <w:rsid w:val="007A746E"/>
    <w:rsid w:val="007A75BB"/>
    <w:rsid w:val="007A7E3D"/>
    <w:rsid w:val="007B26F2"/>
    <w:rsid w:val="007B2DF4"/>
    <w:rsid w:val="007B2FDC"/>
    <w:rsid w:val="007B376E"/>
    <w:rsid w:val="007B3E85"/>
    <w:rsid w:val="007B3EFF"/>
    <w:rsid w:val="007B6448"/>
    <w:rsid w:val="007B6B8C"/>
    <w:rsid w:val="007B6B8D"/>
    <w:rsid w:val="007B72A2"/>
    <w:rsid w:val="007C00A0"/>
    <w:rsid w:val="007C0100"/>
    <w:rsid w:val="007C04A4"/>
    <w:rsid w:val="007C118C"/>
    <w:rsid w:val="007C1EA2"/>
    <w:rsid w:val="007C291B"/>
    <w:rsid w:val="007D0049"/>
    <w:rsid w:val="007D0867"/>
    <w:rsid w:val="007D0F60"/>
    <w:rsid w:val="007D1322"/>
    <w:rsid w:val="007D1A60"/>
    <w:rsid w:val="007D2486"/>
    <w:rsid w:val="007D2974"/>
    <w:rsid w:val="007D44A7"/>
    <w:rsid w:val="007D45BD"/>
    <w:rsid w:val="007D5806"/>
    <w:rsid w:val="007D5A8D"/>
    <w:rsid w:val="007D771C"/>
    <w:rsid w:val="007D7779"/>
    <w:rsid w:val="007E1673"/>
    <w:rsid w:val="007E17CB"/>
    <w:rsid w:val="007E362A"/>
    <w:rsid w:val="007E43CF"/>
    <w:rsid w:val="007E49A9"/>
    <w:rsid w:val="007E6B6A"/>
    <w:rsid w:val="007F0CBA"/>
    <w:rsid w:val="007F158B"/>
    <w:rsid w:val="007F54C5"/>
    <w:rsid w:val="007F5832"/>
    <w:rsid w:val="007F5967"/>
    <w:rsid w:val="007F6D0C"/>
    <w:rsid w:val="007F77CB"/>
    <w:rsid w:val="007F7EE4"/>
    <w:rsid w:val="008006E2"/>
    <w:rsid w:val="00801617"/>
    <w:rsid w:val="008021A2"/>
    <w:rsid w:val="00804334"/>
    <w:rsid w:val="00806CE7"/>
    <w:rsid w:val="0080792C"/>
    <w:rsid w:val="00807D6A"/>
    <w:rsid w:val="00811773"/>
    <w:rsid w:val="00811828"/>
    <w:rsid w:val="00811BC6"/>
    <w:rsid w:val="00812893"/>
    <w:rsid w:val="00812D65"/>
    <w:rsid w:val="008154D0"/>
    <w:rsid w:val="00816DD8"/>
    <w:rsid w:val="00821B83"/>
    <w:rsid w:val="00823691"/>
    <w:rsid w:val="008253B5"/>
    <w:rsid w:val="0082799C"/>
    <w:rsid w:val="00827A8E"/>
    <w:rsid w:val="00835B36"/>
    <w:rsid w:val="008368E3"/>
    <w:rsid w:val="00840AD7"/>
    <w:rsid w:val="0084200D"/>
    <w:rsid w:val="008423B4"/>
    <w:rsid w:val="008436D1"/>
    <w:rsid w:val="008457F1"/>
    <w:rsid w:val="008459A6"/>
    <w:rsid w:val="0084635C"/>
    <w:rsid w:val="00846999"/>
    <w:rsid w:val="00850466"/>
    <w:rsid w:val="00851475"/>
    <w:rsid w:val="00851519"/>
    <w:rsid w:val="00851BAB"/>
    <w:rsid w:val="00851FC9"/>
    <w:rsid w:val="008546EF"/>
    <w:rsid w:val="00861678"/>
    <w:rsid w:val="00864114"/>
    <w:rsid w:val="00864565"/>
    <w:rsid w:val="00864878"/>
    <w:rsid w:val="0086626A"/>
    <w:rsid w:val="0087116E"/>
    <w:rsid w:val="00872B73"/>
    <w:rsid w:val="008736CB"/>
    <w:rsid w:val="0087488A"/>
    <w:rsid w:val="0087597A"/>
    <w:rsid w:val="00876F4D"/>
    <w:rsid w:val="00877C66"/>
    <w:rsid w:val="00880D6B"/>
    <w:rsid w:val="00881BA8"/>
    <w:rsid w:val="00881D85"/>
    <w:rsid w:val="008824CC"/>
    <w:rsid w:val="00883D09"/>
    <w:rsid w:val="008847A3"/>
    <w:rsid w:val="0088489E"/>
    <w:rsid w:val="00886726"/>
    <w:rsid w:val="00887235"/>
    <w:rsid w:val="008873C5"/>
    <w:rsid w:val="00890290"/>
    <w:rsid w:val="008908FF"/>
    <w:rsid w:val="00890D85"/>
    <w:rsid w:val="00891553"/>
    <w:rsid w:val="00892AE3"/>
    <w:rsid w:val="00893683"/>
    <w:rsid w:val="00893848"/>
    <w:rsid w:val="0089389C"/>
    <w:rsid w:val="00895276"/>
    <w:rsid w:val="00896259"/>
    <w:rsid w:val="00897897"/>
    <w:rsid w:val="008A13AC"/>
    <w:rsid w:val="008A1B3F"/>
    <w:rsid w:val="008A2EB9"/>
    <w:rsid w:val="008A4F79"/>
    <w:rsid w:val="008A5695"/>
    <w:rsid w:val="008A56B5"/>
    <w:rsid w:val="008B0417"/>
    <w:rsid w:val="008B16F3"/>
    <w:rsid w:val="008B2BB0"/>
    <w:rsid w:val="008B2C77"/>
    <w:rsid w:val="008B31EF"/>
    <w:rsid w:val="008B3976"/>
    <w:rsid w:val="008B48D1"/>
    <w:rsid w:val="008B4B0A"/>
    <w:rsid w:val="008B76BA"/>
    <w:rsid w:val="008B7D74"/>
    <w:rsid w:val="008C1AFC"/>
    <w:rsid w:val="008C3153"/>
    <w:rsid w:val="008C46F3"/>
    <w:rsid w:val="008C5AC1"/>
    <w:rsid w:val="008C7FC6"/>
    <w:rsid w:val="008D0510"/>
    <w:rsid w:val="008D355B"/>
    <w:rsid w:val="008D45B4"/>
    <w:rsid w:val="008D4CB9"/>
    <w:rsid w:val="008D512A"/>
    <w:rsid w:val="008D5A13"/>
    <w:rsid w:val="008D7370"/>
    <w:rsid w:val="008E06D5"/>
    <w:rsid w:val="008E0D6B"/>
    <w:rsid w:val="008E0EAF"/>
    <w:rsid w:val="008E1405"/>
    <w:rsid w:val="008E1E11"/>
    <w:rsid w:val="008E256A"/>
    <w:rsid w:val="008E3207"/>
    <w:rsid w:val="008E358A"/>
    <w:rsid w:val="008E4AC1"/>
    <w:rsid w:val="008E5430"/>
    <w:rsid w:val="008E60EA"/>
    <w:rsid w:val="008E62E2"/>
    <w:rsid w:val="008E6B43"/>
    <w:rsid w:val="008E704A"/>
    <w:rsid w:val="008E7148"/>
    <w:rsid w:val="008E7BAD"/>
    <w:rsid w:val="008E7C30"/>
    <w:rsid w:val="008F0978"/>
    <w:rsid w:val="008F0C9A"/>
    <w:rsid w:val="008F1129"/>
    <w:rsid w:val="008F11EC"/>
    <w:rsid w:val="008F21F2"/>
    <w:rsid w:val="008F2305"/>
    <w:rsid w:val="008F27A1"/>
    <w:rsid w:val="008F3AD2"/>
    <w:rsid w:val="008F4843"/>
    <w:rsid w:val="008F4BAB"/>
    <w:rsid w:val="008F5926"/>
    <w:rsid w:val="008F60FD"/>
    <w:rsid w:val="008F76DD"/>
    <w:rsid w:val="008F77A5"/>
    <w:rsid w:val="008F78D3"/>
    <w:rsid w:val="009020F5"/>
    <w:rsid w:val="00902134"/>
    <w:rsid w:val="009021E2"/>
    <w:rsid w:val="0090224D"/>
    <w:rsid w:val="009027CB"/>
    <w:rsid w:val="00904910"/>
    <w:rsid w:val="009065CA"/>
    <w:rsid w:val="00910A0E"/>
    <w:rsid w:val="00911895"/>
    <w:rsid w:val="00912AA7"/>
    <w:rsid w:val="00912FFF"/>
    <w:rsid w:val="00913A0F"/>
    <w:rsid w:val="00913B96"/>
    <w:rsid w:val="00913CAC"/>
    <w:rsid w:val="009142FD"/>
    <w:rsid w:val="009154D6"/>
    <w:rsid w:val="00915949"/>
    <w:rsid w:val="00916C84"/>
    <w:rsid w:val="00917AD9"/>
    <w:rsid w:val="00920104"/>
    <w:rsid w:val="009205A7"/>
    <w:rsid w:val="009205F4"/>
    <w:rsid w:val="00920F29"/>
    <w:rsid w:val="009221A0"/>
    <w:rsid w:val="00925981"/>
    <w:rsid w:val="00930254"/>
    <w:rsid w:val="00930E94"/>
    <w:rsid w:val="00931747"/>
    <w:rsid w:val="0093508F"/>
    <w:rsid w:val="009366FE"/>
    <w:rsid w:val="00936721"/>
    <w:rsid w:val="009412FA"/>
    <w:rsid w:val="00942AA2"/>
    <w:rsid w:val="009433B0"/>
    <w:rsid w:val="00943FE2"/>
    <w:rsid w:val="00946901"/>
    <w:rsid w:val="00946D3F"/>
    <w:rsid w:val="00947D9B"/>
    <w:rsid w:val="0095039E"/>
    <w:rsid w:val="009533AB"/>
    <w:rsid w:val="00953F74"/>
    <w:rsid w:val="00955145"/>
    <w:rsid w:val="0095615C"/>
    <w:rsid w:val="00961912"/>
    <w:rsid w:val="00962C93"/>
    <w:rsid w:val="00963071"/>
    <w:rsid w:val="0096373D"/>
    <w:rsid w:val="0096432F"/>
    <w:rsid w:val="00964E09"/>
    <w:rsid w:val="0096656C"/>
    <w:rsid w:val="00966DDB"/>
    <w:rsid w:val="00971ABB"/>
    <w:rsid w:val="009729A6"/>
    <w:rsid w:val="00973A27"/>
    <w:rsid w:val="0097435B"/>
    <w:rsid w:val="0097466D"/>
    <w:rsid w:val="00974D1F"/>
    <w:rsid w:val="00974DB2"/>
    <w:rsid w:val="00974E3D"/>
    <w:rsid w:val="00975449"/>
    <w:rsid w:val="009802FC"/>
    <w:rsid w:val="00982E14"/>
    <w:rsid w:val="00984EFF"/>
    <w:rsid w:val="00987074"/>
    <w:rsid w:val="00991067"/>
    <w:rsid w:val="0099137A"/>
    <w:rsid w:val="00993014"/>
    <w:rsid w:val="0099437C"/>
    <w:rsid w:val="0099659C"/>
    <w:rsid w:val="00996D30"/>
    <w:rsid w:val="009A2F1D"/>
    <w:rsid w:val="009A7A74"/>
    <w:rsid w:val="009B1219"/>
    <w:rsid w:val="009B2BFC"/>
    <w:rsid w:val="009B2FF4"/>
    <w:rsid w:val="009B3431"/>
    <w:rsid w:val="009B571B"/>
    <w:rsid w:val="009B5996"/>
    <w:rsid w:val="009B6E5E"/>
    <w:rsid w:val="009B7682"/>
    <w:rsid w:val="009B7A3E"/>
    <w:rsid w:val="009C0C73"/>
    <w:rsid w:val="009C124F"/>
    <w:rsid w:val="009C2547"/>
    <w:rsid w:val="009C2E14"/>
    <w:rsid w:val="009C532A"/>
    <w:rsid w:val="009C5605"/>
    <w:rsid w:val="009C64F5"/>
    <w:rsid w:val="009C74D6"/>
    <w:rsid w:val="009D02C1"/>
    <w:rsid w:val="009D221F"/>
    <w:rsid w:val="009D29FC"/>
    <w:rsid w:val="009D4B3B"/>
    <w:rsid w:val="009D52C6"/>
    <w:rsid w:val="009D5A83"/>
    <w:rsid w:val="009E3329"/>
    <w:rsid w:val="009E520D"/>
    <w:rsid w:val="009E594B"/>
    <w:rsid w:val="009E7D66"/>
    <w:rsid w:val="009F19D7"/>
    <w:rsid w:val="009F2260"/>
    <w:rsid w:val="009F57BA"/>
    <w:rsid w:val="009F6147"/>
    <w:rsid w:val="009F645F"/>
    <w:rsid w:val="009F6A7B"/>
    <w:rsid w:val="009F729C"/>
    <w:rsid w:val="009F741D"/>
    <w:rsid w:val="009F7BCB"/>
    <w:rsid w:val="00A02886"/>
    <w:rsid w:val="00A02E3E"/>
    <w:rsid w:val="00A03072"/>
    <w:rsid w:val="00A038CB"/>
    <w:rsid w:val="00A0390E"/>
    <w:rsid w:val="00A03F6C"/>
    <w:rsid w:val="00A048D7"/>
    <w:rsid w:val="00A04B07"/>
    <w:rsid w:val="00A063FB"/>
    <w:rsid w:val="00A10082"/>
    <w:rsid w:val="00A11F5C"/>
    <w:rsid w:val="00A130E6"/>
    <w:rsid w:val="00A13D43"/>
    <w:rsid w:val="00A14BBE"/>
    <w:rsid w:val="00A16859"/>
    <w:rsid w:val="00A16C56"/>
    <w:rsid w:val="00A20AD8"/>
    <w:rsid w:val="00A22078"/>
    <w:rsid w:val="00A22563"/>
    <w:rsid w:val="00A23B31"/>
    <w:rsid w:val="00A25432"/>
    <w:rsid w:val="00A2604F"/>
    <w:rsid w:val="00A2792A"/>
    <w:rsid w:val="00A27DE7"/>
    <w:rsid w:val="00A302F6"/>
    <w:rsid w:val="00A304B0"/>
    <w:rsid w:val="00A322A3"/>
    <w:rsid w:val="00A32C35"/>
    <w:rsid w:val="00A32FF9"/>
    <w:rsid w:val="00A33D7D"/>
    <w:rsid w:val="00A33DDC"/>
    <w:rsid w:val="00A35524"/>
    <w:rsid w:val="00A374EC"/>
    <w:rsid w:val="00A4024C"/>
    <w:rsid w:val="00A40DD6"/>
    <w:rsid w:val="00A40E1D"/>
    <w:rsid w:val="00A40ECE"/>
    <w:rsid w:val="00A410E7"/>
    <w:rsid w:val="00A42613"/>
    <w:rsid w:val="00A42C93"/>
    <w:rsid w:val="00A43C0B"/>
    <w:rsid w:val="00A43E2C"/>
    <w:rsid w:val="00A44D01"/>
    <w:rsid w:val="00A45EBE"/>
    <w:rsid w:val="00A472BF"/>
    <w:rsid w:val="00A52D5D"/>
    <w:rsid w:val="00A52EED"/>
    <w:rsid w:val="00A5325A"/>
    <w:rsid w:val="00A5529C"/>
    <w:rsid w:val="00A5624E"/>
    <w:rsid w:val="00A57D2A"/>
    <w:rsid w:val="00A57E25"/>
    <w:rsid w:val="00A60726"/>
    <w:rsid w:val="00A608A1"/>
    <w:rsid w:val="00A608D1"/>
    <w:rsid w:val="00A60A63"/>
    <w:rsid w:val="00A60CC6"/>
    <w:rsid w:val="00A61A44"/>
    <w:rsid w:val="00A61B27"/>
    <w:rsid w:val="00A62486"/>
    <w:rsid w:val="00A624D1"/>
    <w:rsid w:val="00A634CA"/>
    <w:rsid w:val="00A6390C"/>
    <w:rsid w:val="00A6400B"/>
    <w:rsid w:val="00A64273"/>
    <w:rsid w:val="00A66A8D"/>
    <w:rsid w:val="00A66C83"/>
    <w:rsid w:val="00A67E86"/>
    <w:rsid w:val="00A704CC"/>
    <w:rsid w:val="00A72613"/>
    <w:rsid w:val="00A72ADA"/>
    <w:rsid w:val="00A72F6D"/>
    <w:rsid w:val="00A73E22"/>
    <w:rsid w:val="00A74CA6"/>
    <w:rsid w:val="00A74FDD"/>
    <w:rsid w:val="00A77E91"/>
    <w:rsid w:val="00A804CF"/>
    <w:rsid w:val="00A80F15"/>
    <w:rsid w:val="00A842AA"/>
    <w:rsid w:val="00A85976"/>
    <w:rsid w:val="00A86D84"/>
    <w:rsid w:val="00A934B1"/>
    <w:rsid w:val="00A937CE"/>
    <w:rsid w:val="00A937E0"/>
    <w:rsid w:val="00A941A4"/>
    <w:rsid w:val="00A948DF"/>
    <w:rsid w:val="00A951DE"/>
    <w:rsid w:val="00A95518"/>
    <w:rsid w:val="00A96B34"/>
    <w:rsid w:val="00A96F71"/>
    <w:rsid w:val="00A97375"/>
    <w:rsid w:val="00AA130E"/>
    <w:rsid w:val="00AA1E5C"/>
    <w:rsid w:val="00AA2A81"/>
    <w:rsid w:val="00AA3CEE"/>
    <w:rsid w:val="00AA4054"/>
    <w:rsid w:val="00AA4348"/>
    <w:rsid w:val="00AA469F"/>
    <w:rsid w:val="00AA6A5E"/>
    <w:rsid w:val="00AA6CAD"/>
    <w:rsid w:val="00AA7413"/>
    <w:rsid w:val="00AB0858"/>
    <w:rsid w:val="00AB1A3F"/>
    <w:rsid w:val="00AB2E2C"/>
    <w:rsid w:val="00AB4334"/>
    <w:rsid w:val="00AB5388"/>
    <w:rsid w:val="00AB6319"/>
    <w:rsid w:val="00AC0B1D"/>
    <w:rsid w:val="00AC260F"/>
    <w:rsid w:val="00AC2E39"/>
    <w:rsid w:val="00AC2F81"/>
    <w:rsid w:val="00AC6121"/>
    <w:rsid w:val="00AC63C4"/>
    <w:rsid w:val="00AC7651"/>
    <w:rsid w:val="00AD09D1"/>
    <w:rsid w:val="00AD0DAB"/>
    <w:rsid w:val="00AD218A"/>
    <w:rsid w:val="00AD2287"/>
    <w:rsid w:val="00AD4188"/>
    <w:rsid w:val="00AD771E"/>
    <w:rsid w:val="00AD7B44"/>
    <w:rsid w:val="00AE2381"/>
    <w:rsid w:val="00AE3735"/>
    <w:rsid w:val="00AE3A79"/>
    <w:rsid w:val="00AE3CFC"/>
    <w:rsid w:val="00AE5FA9"/>
    <w:rsid w:val="00AE64F9"/>
    <w:rsid w:val="00AE696C"/>
    <w:rsid w:val="00AF073C"/>
    <w:rsid w:val="00AF0776"/>
    <w:rsid w:val="00AF0C93"/>
    <w:rsid w:val="00AF1637"/>
    <w:rsid w:val="00AF1FEF"/>
    <w:rsid w:val="00AF42F2"/>
    <w:rsid w:val="00AF5484"/>
    <w:rsid w:val="00AF6A81"/>
    <w:rsid w:val="00AF6B28"/>
    <w:rsid w:val="00AF72EB"/>
    <w:rsid w:val="00B01542"/>
    <w:rsid w:val="00B033E0"/>
    <w:rsid w:val="00B0398D"/>
    <w:rsid w:val="00B04D34"/>
    <w:rsid w:val="00B05045"/>
    <w:rsid w:val="00B0628D"/>
    <w:rsid w:val="00B0705F"/>
    <w:rsid w:val="00B10F35"/>
    <w:rsid w:val="00B1167D"/>
    <w:rsid w:val="00B132DC"/>
    <w:rsid w:val="00B14CC7"/>
    <w:rsid w:val="00B15119"/>
    <w:rsid w:val="00B15187"/>
    <w:rsid w:val="00B174C4"/>
    <w:rsid w:val="00B205CA"/>
    <w:rsid w:val="00B20BF0"/>
    <w:rsid w:val="00B22A9B"/>
    <w:rsid w:val="00B24D6C"/>
    <w:rsid w:val="00B269D0"/>
    <w:rsid w:val="00B27FAF"/>
    <w:rsid w:val="00B30CA1"/>
    <w:rsid w:val="00B3111B"/>
    <w:rsid w:val="00B33764"/>
    <w:rsid w:val="00B33DC8"/>
    <w:rsid w:val="00B34050"/>
    <w:rsid w:val="00B348E3"/>
    <w:rsid w:val="00B34F77"/>
    <w:rsid w:val="00B355A5"/>
    <w:rsid w:val="00B356D9"/>
    <w:rsid w:val="00B357AB"/>
    <w:rsid w:val="00B359D4"/>
    <w:rsid w:val="00B36DC4"/>
    <w:rsid w:val="00B3793B"/>
    <w:rsid w:val="00B37ECB"/>
    <w:rsid w:val="00B40448"/>
    <w:rsid w:val="00B44578"/>
    <w:rsid w:val="00B44890"/>
    <w:rsid w:val="00B44901"/>
    <w:rsid w:val="00B45993"/>
    <w:rsid w:val="00B45BC6"/>
    <w:rsid w:val="00B46968"/>
    <w:rsid w:val="00B50748"/>
    <w:rsid w:val="00B50EEF"/>
    <w:rsid w:val="00B51468"/>
    <w:rsid w:val="00B52BD6"/>
    <w:rsid w:val="00B54176"/>
    <w:rsid w:val="00B541CD"/>
    <w:rsid w:val="00B549A3"/>
    <w:rsid w:val="00B55F20"/>
    <w:rsid w:val="00B57B3D"/>
    <w:rsid w:val="00B60EB2"/>
    <w:rsid w:val="00B6185D"/>
    <w:rsid w:val="00B64235"/>
    <w:rsid w:val="00B644EC"/>
    <w:rsid w:val="00B65AB4"/>
    <w:rsid w:val="00B66072"/>
    <w:rsid w:val="00B67599"/>
    <w:rsid w:val="00B67AF4"/>
    <w:rsid w:val="00B71A3B"/>
    <w:rsid w:val="00B71A6D"/>
    <w:rsid w:val="00B725C3"/>
    <w:rsid w:val="00B747F3"/>
    <w:rsid w:val="00B74858"/>
    <w:rsid w:val="00B765A6"/>
    <w:rsid w:val="00B776C6"/>
    <w:rsid w:val="00B80C8B"/>
    <w:rsid w:val="00B8214B"/>
    <w:rsid w:val="00B8338B"/>
    <w:rsid w:val="00B84110"/>
    <w:rsid w:val="00B85D16"/>
    <w:rsid w:val="00B90017"/>
    <w:rsid w:val="00B907DD"/>
    <w:rsid w:val="00B90901"/>
    <w:rsid w:val="00B91B66"/>
    <w:rsid w:val="00B92C15"/>
    <w:rsid w:val="00B97647"/>
    <w:rsid w:val="00BA0362"/>
    <w:rsid w:val="00BA1612"/>
    <w:rsid w:val="00BA1F38"/>
    <w:rsid w:val="00BA2DB7"/>
    <w:rsid w:val="00BA3B0E"/>
    <w:rsid w:val="00BA48DC"/>
    <w:rsid w:val="00BA6CE0"/>
    <w:rsid w:val="00BA7452"/>
    <w:rsid w:val="00BB03A1"/>
    <w:rsid w:val="00BB305C"/>
    <w:rsid w:val="00BB770B"/>
    <w:rsid w:val="00BC3483"/>
    <w:rsid w:val="00BC4A12"/>
    <w:rsid w:val="00BC5A44"/>
    <w:rsid w:val="00BC6B3E"/>
    <w:rsid w:val="00BD04D5"/>
    <w:rsid w:val="00BD0E7B"/>
    <w:rsid w:val="00BD2055"/>
    <w:rsid w:val="00BD3356"/>
    <w:rsid w:val="00BD629F"/>
    <w:rsid w:val="00BE1DBC"/>
    <w:rsid w:val="00BE6229"/>
    <w:rsid w:val="00BE6FB2"/>
    <w:rsid w:val="00BF03D4"/>
    <w:rsid w:val="00BF0F75"/>
    <w:rsid w:val="00BF126C"/>
    <w:rsid w:val="00BF3054"/>
    <w:rsid w:val="00BF5067"/>
    <w:rsid w:val="00BF5FC6"/>
    <w:rsid w:val="00BF6175"/>
    <w:rsid w:val="00BF66FE"/>
    <w:rsid w:val="00C00C4E"/>
    <w:rsid w:val="00C01957"/>
    <w:rsid w:val="00C0698A"/>
    <w:rsid w:val="00C10DE6"/>
    <w:rsid w:val="00C10EFC"/>
    <w:rsid w:val="00C11D29"/>
    <w:rsid w:val="00C11E4C"/>
    <w:rsid w:val="00C12702"/>
    <w:rsid w:val="00C13F34"/>
    <w:rsid w:val="00C15ADE"/>
    <w:rsid w:val="00C15BDB"/>
    <w:rsid w:val="00C17129"/>
    <w:rsid w:val="00C1723B"/>
    <w:rsid w:val="00C174A1"/>
    <w:rsid w:val="00C17A27"/>
    <w:rsid w:val="00C17FAC"/>
    <w:rsid w:val="00C218FC"/>
    <w:rsid w:val="00C2192B"/>
    <w:rsid w:val="00C21B3C"/>
    <w:rsid w:val="00C225A9"/>
    <w:rsid w:val="00C23275"/>
    <w:rsid w:val="00C24224"/>
    <w:rsid w:val="00C245D2"/>
    <w:rsid w:val="00C24694"/>
    <w:rsid w:val="00C25A35"/>
    <w:rsid w:val="00C25D82"/>
    <w:rsid w:val="00C2734D"/>
    <w:rsid w:val="00C31DE3"/>
    <w:rsid w:val="00C32234"/>
    <w:rsid w:val="00C33056"/>
    <w:rsid w:val="00C3349B"/>
    <w:rsid w:val="00C345FD"/>
    <w:rsid w:val="00C35454"/>
    <w:rsid w:val="00C35CE9"/>
    <w:rsid w:val="00C371E5"/>
    <w:rsid w:val="00C37E36"/>
    <w:rsid w:val="00C42CD0"/>
    <w:rsid w:val="00C44B3F"/>
    <w:rsid w:val="00C45361"/>
    <w:rsid w:val="00C45E19"/>
    <w:rsid w:val="00C467C7"/>
    <w:rsid w:val="00C46971"/>
    <w:rsid w:val="00C46B70"/>
    <w:rsid w:val="00C50FE9"/>
    <w:rsid w:val="00C51B69"/>
    <w:rsid w:val="00C51D9B"/>
    <w:rsid w:val="00C51DB8"/>
    <w:rsid w:val="00C52A8A"/>
    <w:rsid w:val="00C53F48"/>
    <w:rsid w:val="00C54F58"/>
    <w:rsid w:val="00C55154"/>
    <w:rsid w:val="00C563E0"/>
    <w:rsid w:val="00C565F0"/>
    <w:rsid w:val="00C64087"/>
    <w:rsid w:val="00C66498"/>
    <w:rsid w:val="00C6699B"/>
    <w:rsid w:val="00C71874"/>
    <w:rsid w:val="00C718E7"/>
    <w:rsid w:val="00C720A9"/>
    <w:rsid w:val="00C7264F"/>
    <w:rsid w:val="00C72CE7"/>
    <w:rsid w:val="00C734AB"/>
    <w:rsid w:val="00C765B8"/>
    <w:rsid w:val="00C76C40"/>
    <w:rsid w:val="00C76E95"/>
    <w:rsid w:val="00C77C49"/>
    <w:rsid w:val="00C77D10"/>
    <w:rsid w:val="00C8060E"/>
    <w:rsid w:val="00C822D5"/>
    <w:rsid w:val="00C82A9D"/>
    <w:rsid w:val="00C87511"/>
    <w:rsid w:val="00C87797"/>
    <w:rsid w:val="00C87A00"/>
    <w:rsid w:val="00C903AE"/>
    <w:rsid w:val="00C90D69"/>
    <w:rsid w:val="00C90DEC"/>
    <w:rsid w:val="00C92554"/>
    <w:rsid w:val="00C941D9"/>
    <w:rsid w:val="00C9442E"/>
    <w:rsid w:val="00C975DD"/>
    <w:rsid w:val="00CA006B"/>
    <w:rsid w:val="00CA1561"/>
    <w:rsid w:val="00CA31F6"/>
    <w:rsid w:val="00CA37A0"/>
    <w:rsid w:val="00CA3A21"/>
    <w:rsid w:val="00CA3DDB"/>
    <w:rsid w:val="00CA69D0"/>
    <w:rsid w:val="00CA7253"/>
    <w:rsid w:val="00CA7F27"/>
    <w:rsid w:val="00CB08EA"/>
    <w:rsid w:val="00CB1BDC"/>
    <w:rsid w:val="00CB3778"/>
    <w:rsid w:val="00CB40F3"/>
    <w:rsid w:val="00CB4130"/>
    <w:rsid w:val="00CB4B7F"/>
    <w:rsid w:val="00CB5A28"/>
    <w:rsid w:val="00CB5B96"/>
    <w:rsid w:val="00CC0F1A"/>
    <w:rsid w:val="00CC2D20"/>
    <w:rsid w:val="00CC3B75"/>
    <w:rsid w:val="00CC3FC3"/>
    <w:rsid w:val="00CC4CC4"/>
    <w:rsid w:val="00CC5C40"/>
    <w:rsid w:val="00CC745D"/>
    <w:rsid w:val="00CD0535"/>
    <w:rsid w:val="00CD0F0E"/>
    <w:rsid w:val="00CD4165"/>
    <w:rsid w:val="00CD4AC7"/>
    <w:rsid w:val="00CD5E80"/>
    <w:rsid w:val="00CD603F"/>
    <w:rsid w:val="00CD6277"/>
    <w:rsid w:val="00CD6625"/>
    <w:rsid w:val="00CD6902"/>
    <w:rsid w:val="00CD7448"/>
    <w:rsid w:val="00CE0220"/>
    <w:rsid w:val="00CE0759"/>
    <w:rsid w:val="00CE09F2"/>
    <w:rsid w:val="00CE296B"/>
    <w:rsid w:val="00CE5DA7"/>
    <w:rsid w:val="00CF0A0F"/>
    <w:rsid w:val="00CF2C99"/>
    <w:rsid w:val="00CF2F14"/>
    <w:rsid w:val="00CF35CE"/>
    <w:rsid w:val="00CF3703"/>
    <w:rsid w:val="00CF75CA"/>
    <w:rsid w:val="00CF79BE"/>
    <w:rsid w:val="00D000B9"/>
    <w:rsid w:val="00D0038A"/>
    <w:rsid w:val="00D00659"/>
    <w:rsid w:val="00D023FB"/>
    <w:rsid w:val="00D03182"/>
    <w:rsid w:val="00D041DA"/>
    <w:rsid w:val="00D04ED6"/>
    <w:rsid w:val="00D07B4B"/>
    <w:rsid w:val="00D07EE0"/>
    <w:rsid w:val="00D10E4D"/>
    <w:rsid w:val="00D12A67"/>
    <w:rsid w:val="00D1348B"/>
    <w:rsid w:val="00D1362B"/>
    <w:rsid w:val="00D160DD"/>
    <w:rsid w:val="00D1688C"/>
    <w:rsid w:val="00D16EBD"/>
    <w:rsid w:val="00D177C1"/>
    <w:rsid w:val="00D21224"/>
    <w:rsid w:val="00D22803"/>
    <w:rsid w:val="00D22DB9"/>
    <w:rsid w:val="00D23772"/>
    <w:rsid w:val="00D23D78"/>
    <w:rsid w:val="00D2418F"/>
    <w:rsid w:val="00D24ED0"/>
    <w:rsid w:val="00D25AC1"/>
    <w:rsid w:val="00D27876"/>
    <w:rsid w:val="00D31000"/>
    <w:rsid w:val="00D3199F"/>
    <w:rsid w:val="00D31F4E"/>
    <w:rsid w:val="00D32606"/>
    <w:rsid w:val="00D3371A"/>
    <w:rsid w:val="00D348A1"/>
    <w:rsid w:val="00D357CA"/>
    <w:rsid w:val="00D35A8F"/>
    <w:rsid w:val="00D35B7D"/>
    <w:rsid w:val="00D36239"/>
    <w:rsid w:val="00D403D1"/>
    <w:rsid w:val="00D40D3F"/>
    <w:rsid w:val="00D410E9"/>
    <w:rsid w:val="00D41187"/>
    <w:rsid w:val="00D434A3"/>
    <w:rsid w:val="00D44FF7"/>
    <w:rsid w:val="00D4511F"/>
    <w:rsid w:val="00D45BEA"/>
    <w:rsid w:val="00D46239"/>
    <w:rsid w:val="00D463A6"/>
    <w:rsid w:val="00D47D65"/>
    <w:rsid w:val="00D513B6"/>
    <w:rsid w:val="00D51845"/>
    <w:rsid w:val="00D518F6"/>
    <w:rsid w:val="00D51BF7"/>
    <w:rsid w:val="00D529B0"/>
    <w:rsid w:val="00D53854"/>
    <w:rsid w:val="00D54202"/>
    <w:rsid w:val="00D54869"/>
    <w:rsid w:val="00D5549A"/>
    <w:rsid w:val="00D5673B"/>
    <w:rsid w:val="00D60157"/>
    <w:rsid w:val="00D60B30"/>
    <w:rsid w:val="00D60F3A"/>
    <w:rsid w:val="00D61E7A"/>
    <w:rsid w:val="00D636DA"/>
    <w:rsid w:val="00D65522"/>
    <w:rsid w:val="00D65A83"/>
    <w:rsid w:val="00D67317"/>
    <w:rsid w:val="00D70C7A"/>
    <w:rsid w:val="00D75F03"/>
    <w:rsid w:val="00D765BB"/>
    <w:rsid w:val="00D76CE0"/>
    <w:rsid w:val="00D80A2B"/>
    <w:rsid w:val="00D80AC0"/>
    <w:rsid w:val="00D823EF"/>
    <w:rsid w:val="00D826FA"/>
    <w:rsid w:val="00D8271C"/>
    <w:rsid w:val="00D8424D"/>
    <w:rsid w:val="00D875B9"/>
    <w:rsid w:val="00D908B3"/>
    <w:rsid w:val="00D919E9"/>
    <w:rsid w:val="00D93109"/>
    <w:rsid w:val="00D95B57"/>
    <w:rsid w:val="00D95F41"/>
    <w:rsid w:val="00D9687D"/>
    <w:rsid w:val="00DA02CC"/>
    <w:rsid w:val="00DA2604"/>
    <w:rsid w:val="00DA2AFC"/>
    <w:rsid w:val="00DA2DEB"/>
    <w:rsid w:val="00DA3659"/>
    <w:rsid w:val="00DA4070"/>
    <w:rsid w:val="00DA472D"/>
    <w:rsid w:val="00DA5299"/>
    <w:rsid w:val="00DA5482"/>
    <w:rsid w:val="00DA5C6B"/>
    <w:rsid w:val="00DA717C"/>
    <w:rsid w:val="00DA7399"/>
    <w:rsid w:val="00DA77DD"/>
    <w:rsid w:val="00DB0389"/>
    <w:rsid w:val="00DB0CE2"/>
    <w:rsid w:val="00DB0DA3"/>
    <w:rsid w:val="00DB0ED3"/>
    <w:rsid w:val="00DB1113"/>
    <w:rsid w:val="00DB36B1"/>
    <w:rsid w:val="00DB3757"/>
    <w:rsid w:val="00DB3916"/>
    <w:rsid w:val="00DB424E"/>
    <w:rsid w:val="00DB457A"/>
    <w:rsid w:val="00DB51F5"/>
    <w:rsid w:val="00DB61AE"/>
    <w:rsid w:val="00DB634F"/>
    <w:rsid w:val="00DC06BA"/>
    <w:rsid w:val="00DC153D"/>
    <w:rsid w:val="00DC390A"/>
    <w:rsid w:val="00DC4C03"/>
    <w:rsid w:val="00DC5102"/>
    <w:rsid w:val="00DD0BD5"/>
    <w:rsid w:val="00DD10B4"/>
    <w:rsid w:val="00DD15C4"/>
    <w:rsid w:val="00DD325A"/>
    <w:rsid w:val="00DD4136"/>
    <w:rsid w:val="00DD41B1"/>
    <w:rsid w:val="00DD6683"/>
    <w:rsid w:val="00DD729E"/>
    <w:rsid w:val="00DD76AA"/>
    <w:rsid w:val="00DD7E0B"/>
    <w:rsid w:val="00DE07B3"/>
    <w:rsid w:val="00DE0F27"/>
    <w:rsid w:val="00DE1BA6"/>
    <w:rsid w:val="00DE2262"/>
    <w:rsid w:val="00DE2B04"/>
    <w:rsid w:val="00DE7373"/>
    <w:rsid w:val="00DE7B68"/>
    <w:rsid w:val="00DF0A3A"/>
    <w:rsid w:val="00DF1129"/>
    <w:rsid w:val="00DF19A7"/>
    <w:rsid w:val="00DF238C"/>
    <w:rsid w:val="00DF2805"/>
    <w:rsid w:val="00DF2BEE"/>
    <w:rsid w:val="00DF38C4"/>
    <w:rsid w:val="00DF429A"/>
    <w:rsid w:val="00DF69BA"/>
    <w:rsid w:val="00DF71BE"/>
    <w:rsid w:val="00E028E8"/>
    <w:rsid w:val="00E04FD4"/>
    <w:rsid w:val="00E065E6"/>
    <w:rsid w:val="00E07318"/>
    <w:rsid w:val="00E102CF"/>
    <w:rsid w:val="00E128BF"/>
    <w:rsid w:val="00E1300A"/>
    <w:rsid w:val="00E13A0D"/>
    <w:rsid w:val="00E13A10"/>
    <w:rsid w:val="00E153E3"/>
    <w:rsid w:val="00E16622"/>
    <w:rsid w:val="00E17B48"/>
    <w:rsid w:val="00E20BA2"/>
    <w:rsid w:val="00E20C70"/>
    <w:rsid w:val="00E216C7"/>
    <w:rsid w:val="00E21C60"/>
    <w:rsid w:val="00E21DAC"/>
    <w:rsid w:val="00E22078"/>
    <w:rsid w:val="00E23232"/>
    <w:rsid w:val="00E24C26"/>
    <w:rsid w:val="00E24C4D"/>
    <w:rsid w:val="00E306F6"/>
    <w:rsid w:val="00E308E8"/>
    <w:rsid w:val="00E31126"/>
    <w:rsid w:val="00E31166"/>
    <w:rsid w:val="00E32246"/>
    <w:rsid w:val="00E3486C"/>
    <w:rsid w:val="00E35131"/>
    <w:rsid w:val="00E35FDA"/>
    <w:rsid w:val="00E37040"/>
    <w:rsid w:val="00E40614"/>
    <w:rsid w:val="00E41168"/>
    <w:rsid w:val="00E42209"/>
    <w:rsid w:val="00E42E1F"/>
    <w:rsid w:val="00E45525"/>
    <w:rsid w:val="00E45A58"/>
    <w:rsid w:val="00E45AA0"/>
    <w:rsid w:val="00E45B95"/>
    <w:rsid w:val="00E46401"/>
    <w:rsid w:val="00E478B4"/>
    <w:rsid w:val="00E509B4"/>
    <w:rsid w:val="00E50DFF"/>
    <w:rsid w:val="00E5193B"/>
    <w:rsid w:val="00E531F0"/>
    <w:rsid w:val="00E532EE"/>
    <w:rsid w:val="00E536C6"/>
    <w:rsid w:val="00E56D87"/>
    <w:rsid w:val="00E6112D"/>
    <w:rsid w:val="00E61678"/>
    <w:rsid w:val="00E62FE0"/>
    <w:rsid w:val="00E632D9"/>
    <w:rsid w:val="00E63DDA"/>
    <w:rsid w:val="00E64761"/>
    <w:rsid w:val="00E64B4F"/>
    <w:rsid w:val="00E65749"/>
    <w:rsid w:val="00E661A7"/>
    <w:rsid w:val="00E66454"/>
    <w:rsid w:val="00E72A25"/>
    <w:rsid w:val="00E76292"/>
    <w:rsid w:val="00E76C79"/>
    <w:rsid w:val="00E7701D"/>
    <w:rsid w:val="00E778BE"/>
    <w:rsid w:val="00E77901"/>
    <w:rsid w:val="00E80AA3"/>
    <w:rsid w:val="00E82D20"/>
    <w:rsid w:val="00E8400D"/>
    <w:rsid w:val="00E846D4"/>
    <w:rsid w:val="00E846D7"/>
    <w:rsid w:val="00E849BC"/>
    <w:rsid w:val="00E84CFB"/>
    <w:rsid w:val="00E854F7"/>
    <w:rsid w:val="00E85BD2"/>
    <w:rsid w:val="00E862A6"/>
    <w:rsid w:val="00E87911"/>
    <w:rsid w:val="00E90007"/>
    <w:rsid w:val="00E90AB4"/>
    <w:rsid w:val="00E913D1"/>
    <w:rsid w:val="00E91B2F"/>
    <w:rsid w:val="00E92636"/>
    <w:rsid w:val="00E9322B"/>
    <w:rsid w:val="00E95F87"/>
    <w:rsid w:val="00E96239"/>
    <w:rsid w:val="00E9650E"/>
    <w:rsid w:val="00E970EA"/>
    <w:rsid w:val="00E97E08"/>
    <w:rsid w:val="00EA0EBD"/>
    <w:rsid w:val="00EA2B87"/>
    <w:rsid w:val="00EA37DB"/>
    <w:rsid w:val="00EA5454"/>
    <w:rsid w:val="00EA605D"/>
    <w:rsid w:val="00EA7270"/>
    <w:rsid w:val="00EA7633"/>
    <w:rsid w:val="00EA7A8A"/>
    <w:rsid w:val="00EB0450"/>
    <w:rsid w:val="00EB25E4"/>
    <w:rsid w:val="00EB2C2A"/>
    <w:rsid w:val="00EB2D9C"/>
    <w:rsid w:val="00EB41F7"/>
    <w:rsid w:val="00EB4C75"/>
    <w:rsid w:val="00EB505D"/>
    <w:rsid w:val="00EB5CD5"/>
    <w:rsid w:val="00EB69D4"/>
    <w:rsid w:val="00EB7073"/>
    <w:rsid w:val="00EC0D19"/>
    <w:rsid w:val="00EC1362"/>
    <w:rsid w:val="00EC16C5"/>
    <w:rsid w:val="00EC1A85"/>
    <w:rsid w:val="00EC208E"/>
    <w:rsid w:val="00EC5CF9"/>
    <w:rsid w:val="00EC5DF5"/>
    <w:rsid w:val="00EC6D2C"/>
    <w:rsid w:val="00EC6ECC"/>
    <w:rsid w:val="00ED206F"/>
    <w:rsid w:val="00ED2DD8"/>
    <w:rsid w:val="00ED3265"/>
    <w:rsid w:val="00ED4296"/>
    <w:rsid w:val="00ED46E2"/>
    <w:rsid w:val="00ED63E3"/>
    <w:rsid w:val="00ED6410"/>
    <w:rsid w:val="00ED6703"/>
    <w:rsid w:val="00EE0EDB"/>
    <w:rsid w:val="00EE18DE"/>
    <w:rsid w:val="00EE18F6"/>
    <w:rsid w:val="00EE1D82"/>
    <w:rsid w:val="00EE2783"/>
    <w:rsid w:val="00EE3BD0"/>
    <w:rsid w:val="00EE4230"/>
    <w:rsid w:val="00EE54CA"/>
    <w:rsid w:val="00EE6576"/>
    <w:rsid w:val="00EF153E"/>
    <w:rsid w:val="00EF3106"/>
    <w:rsid w:val="00EF3380"/>
    <w:rsid w:val="00EF4A85"/>
    <w:rsid w:val="00EF51BC"/>
    <w:rsid w:val="00EF6887"/>
    <w:rsid w:val="00EF7026"/>
    <w:rsid w:val="00F00435"/>
    <w:rsid w:val="00F00B36"/>
    <w:rsid w:val="00F01F57"/>
    <w:rsid w:val="00F02B56"/>
    <w:rsid w:val="00F04982"/>
    <w:rsid w:val="00F04D6E"/>
    <w:rsid w:val="00F04EAF"/>
    <w:rsid w:val="00F050C1"/>
    <w:rsid w:val="00F06C4C"/>
    <w:rsid w:val="00F1153B"/>
    <w:rsid w:val="00F12B5A"/>
    <w:rsid w:val="00F14917"/>
    <w:rsid w:val="00F14FB7"/>
    <w:rsid w:val="00F16267"/>
    <w:rsid w:val="00F239DC"/>
    <w:rsid w:val="00F242FA"/>
    <w:rsid w:val="00F249AD"/>
    <w:rsid w:val="00F24CDA"/>
    <w:rsid w:val="00F24EDA"/>
    <w:rsid w:val="00F2545D"/>
    <w:rsid w:val="00F260BD"/>
    <w:rsid w:val="00F27988"/>
    <w:rsid w:val="00F27BE8"/>
    <w:rsid w:val="00F30352"/>
    <w:rsid w:val="00F30B85"/>
    <w:rsid w:val="00F31D36"/>
    <w:rsid w:val="00F320C8"/>
    <w:rsid w:val="00F3459B"/>
    <w:rsid w:val="00F35341"/>
    <w:rsid w:val="00F35783"/>
    <w:rsid w:val="00F35C4F"/>
    <w:rsid w:val="00F364B4"/>
    <w:rsid w:val="00F414D5"/>
    <w:rsid w:val="00F414E7"/>
    <w:rsid w:val="00F414E9"/>
    <w:rsid w:val="00F420A5"/>
    <w:rsid w:val="00F42398"/>
    <w:rsid w:val="00F43A34"/>
    <w:rsid w:val="00F43DFF"/>
    <w:rsid w:val="00F4453E"/>
    <w:rsid w:val="00F45AA3"/>
    <w:rsid w:val="00F45B18"/>
    <w:rsid w:val="00F47849"/>
    <w:rsid w:val="00F502FE"/>
    <w:rsid w:val="00F5035E"/>
    <w:rsid w:val="00F509A5"/>
    <w:rsid w:val="00F50A25"/>
    <w:rsid w:val="00F521F1"/>
    <w:rsid w:val="00F52343"/>
    <w:rsid w:val="00F5694E"/>
    <w:rsid w:val="00F6045A"/>
    <w:rsid w:val="00F6086F"/>
    <w:rsid w:val="00F60C9A"/>
    <w:rsid w:val="00F6197A"/>
    <w:rsid w:val="00F61F2A"/>
    <w:rsid w:val="00F61F99"/>
    <w:rsid w:val="00F62466"/>
    <w:rsid w:val="00F639BD"/>
    <w:rsid w:val="00F64BCD"/>
    <w:rsid w:val="00F6500B"/>
    <w:rsid w:val="00F65CF7"/>
    <w:rsid w:val="00F672CA"/>
    <w:rsid w:val="00F71558"/>
    <w:rsid w:val="00F718BE"/>
    <w:rsid w:val="00F7193B"/>
    <w:rsid w:val="00F72475"/>
    <w:rsid w:val="00F7300F"/>
    <w:rsid w:val="00F742D1"/>
    <w:rsid w:val="00F75936"/>
    <w:rsid w:val="00F762CC"/>
    <w:rsid w:val="00F7692D"/>
    <w:rsid w:val="00F76C6F"/>
    <w:rsid w:val="00F8060F"/>
    <w:rsid w:val="00F8115C"/>
    <w:rsid w:val="00F819F1"/>
    <w:rsid w:val="00F827B1"/>
    <w:rsid w:val="00F8716A"/>
    <w:rsid w:val="00F87493"/>
    <w:rsid w:val="00F87F5A"/>
    <w:rsid w:val="00F9034F"/>
    <w:rsid w:val="00F93026"/>
    <w:rsid w:val="00F933D7"/>
    <w:rsid w:val="00F9418A"/>
    <w:rsid w:val="00F944AE"/>
    <w:rsid w:val="00F954B3"/>
    <w:rsid w:val="00F95542"/>
    <w:rsid w:val="00FA2661"/>
    <w:rsid w:val="00FA26C8"/>
    <w:rsid w:val="00FA3B51"/>
    <w:rsid w:val="00FA4D6A"/>
    <w:rsid w:val="00FA61BB"/>
    <w:rsid w:val="00FA6599"/>
    <w:rsid w:val="00FA6DC2"/>
    <w:rsid w:val="00FA7F64"/>
    <w:rsid w:val="00FA7FD4"/>
    <w:rsid w:val="00FB039E"/>
    <w:rsid w:val="00FB16A7"/>
    <w:rsid w:val="00FB3166"/>
    <w:rsid w:val="00FB3404"/>
    <w:rsid w:val="00FB3A3B"/>
    <w:rsid w:val="00FB4BC7"/>
    <w:rsid w:val="00FB55E5"/>
    <w:rsid w:val="00FB5E97"/>
    <w:rsid w:val="00FB63AE"/>
    <w:rsid w:val="00FB6B66"/>
    <w:rsid w:val="00FB7814"/>
    <w:rsid w:val="00FC146A"/>
    <w:rsid w:val="00FC1CE9"/>
    <w:rsid w:val="00FC1E42"/>
    <w:rsid w:val="00FC2811"/>
    <w:rsid w:val="00FC2967"/>
    <w:rsid w:val="00FC2FBA"/>
    <w:rsid w:val="00FC38B7"/>
    <w:rsid w:val="00FC6178"/>
    <w:rsid w:val="00FC6E57"/>
    <w:rsid w:val="00FD19F9"/>
    <w:rsid w:val="00FD2B05"/>
    <w:rsid w:val="00FD3647"/>
    <w:rsid w:val="00FD3B7B"/>
    <w:rsid w:val="00FD5604"/>
    <w:rsid w:val="00FD5975"/>
    <w:rsid w:val="00FD63ED"/>
    <w:rsid w:val="00FD65E9"/>
    <w:rsid w:val="00FE266D"/>
    <w:rsid w:val="00FE329D"/>
    <w:rsid w:val="00FE551E"/>
    <w:rsid w:val="00FE6516"/>
    <w:rsid w:val="00FE67C3"/>
    <w:rsid w:val="00FF0DDC"/>
    <w:rsid w:val="00FF172C"/>
    <w:rsid w:val="00FF25A5"/>
    <w:rsid w:val="00FF51BB"/>
    <w:rsid w:val="00FF7028"/>
    <w:rsid w:val="00FF72CB"/>
    <w:rsid w:val="00FF7FC7"/>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7FDF4"/>
  <w15:docId w15:val="{41A48E74-653E-4AA7-A257-6807918E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292"/>
    <w:pPr>
      <w:spacing w:after="160" w:line="259" w:lineRule="auto"/>
    </w:pPr>
    <w:rPr>
      <w:sz w:val="22"/>
      <w:lang w:bidi="hi-IN"/>
    </w:rPr>
  </w:style>
  <w:style w:type="paragraph" w:styleId="Heading1">
    <w:name w:val="heading 1"/>
    <w:basedOn w:val="Normal"/>
    <w:link w:val="Heading1Char"/>
    <w:uiPriority w:val="1"/>
    <w:qFormat/>
    <w:rsid w:val="0056056F"/>
    <w:pPr>
      <w:widowControl w:val="0"/>
      <w:autoSpaceDE w:val="0"/>
      <w:autoSpaceDN w:val="0"/>
      <w:spacing w:after="0" w:line="240" w:lineRule="auto"/>
      <w:ind w:left="260"/>
      <w:outlineLvl w:val="0"/>
    </w:pPr>
    <w:rPr>
      <w:rFonts w:ascii="Times New Roman" w:eastAsia="Times New Roman" w:hAnsi="Times New Roman"/>
      <w:b/>
      <w:bCs/>
      <w:sz w:val="24"/>
      <w:szCs w:val="24"/>
    </w:rPr>
  </w:style>
  <w:style w:type="paragraph" w:styleId="Heading2">
    <w:name w:val="heading 2"/>
    <w:basedOn w:val="Normal"/>
    <w:next w:val="Normal"/>
    <w:link w:val="Heading2Char"/>
    <w:uiPriority w:val="9"/>
    <w:unhideWhenUsed/>
    <w:qFormat/>
    <w:rsid w:val="00340407"/>
    <w:pPr>
      <w:keepNext/>
      <w:keepLines/>
      <w:spacing w:before="200" w:after="0"/>
      <w:outlineLvl w:val="1"/>
    </w:pPr>
    <w:rPr>
      <w:rFonts w:ascii="Cambria" w:eastAsia="Times New Roman" w:hAnsi="Cambria"/>
      <w:b/>
      <w:bCs/>
      <w:color w:val="4F81BD"/>
      <w:sz w:val="26"/>
      <w:szCs w:val="23"/>
    </w:rPr>
  </w:style>
  <w:style w:type="paragraph" w:styleId="Heading3">
    <w:name w:val="heading 3"/>
    <w:basedOn w:val="Normal"/>
    <w:next w:val="Normal"/>
    <w:link w:val="Heading3Char"/>
    <w:uiPriority w:val="9"/>
    <w:unhideWhenUsed/>
    <w:qFormat/>
    <w:rsid w:val="00F6197A"/>
    <w:pPr>
      <w:keepNext/>
      <w:keepLines/>
      <w:spacing w:before="40" w:after="0"/>
      <w:outlineLvl w:val="2"/>
    </w:pPr>
    <w:rPr>
      <w:rFonts w:asciiTheme="majorHAnsi" w:eastAsiaTheme="majorEastAsia" w:hAnsiTheme="majorHAnsi" w:cstheme="majorBidi"/>
      <w:color w:val="1F4D78" w:themeColor="accent1" w:themeShade="7F"/>
      <w:sz w:val="24"/>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1292"/>
    <w:pPr>
      <w:ind w:left="720"/>
      <w:contextualSpacing/>
    </w:pPr>
  </w:style>
  <w:style w:type="paragraph" w:styleId="CommentText">
    <w:name w:val="annotation text"/>
    <w:basedOn w:val="Normal"/>
    <w:link w:val="CommentTextChar"/>
    <w:rsid w:val="0056056F"/>
    <w:pPr>
      <w:spacing w:after="0" w:line="240" w:lineRule="auto"/>
    </w:pPr>
    <w:rPr>
      <w:rFonts w:ascii="Times New Roman" w:eastAsia="Times New Roman" w:hAnsi="Times New Roman" w:cs="Times New Roman"/>
      <w:sz w:val="20"/>
      <w:lang w:bidi="ar-SA"/>
    </w:rPr>
  </w:style>
  <w:style w:type="character" w:customStyle="1" w:styleId="CommentTextChar">
    <w:name w:val="Comment Text Char"/>
    <w:link w:val="CommentText"/>
    <w:rsid w:val="0056056F"/>
    <w:rPr>
      <w:rFonts w:ascii="Times New Roman" w:eastAsia="Times New Roman" w:hAnsi="Times New Roman" w:cs="Times New Roman"/>
      <w:sz w:val="20"/>
      <w:lang w:bidi="ar-SA"/>
    </w:rPr>
  </w:style>
  <w:style w:type="character" w:customStyle="1" w:styleId="Heading1Char">
    <w:name w:val="Heading 1 Char"/>
    <w:link w:val="Heading1"/>
    <w:uiPriority w:val="1"/>
    <w:rsid w:val="0056056F"/>
    <w:rPr>
      <w:rFonts w:ascii="Times New Roman" w:eastAsia="Times New Roman" w:hAnsi="Times New Roman" w:cs="Mangal"/>
      <w:b/>
      <w:bCs/>
      <w:sz w:val="24"/>
      <w:szCs w:val="24"/>
    </w:rPr>
  </w:style>
  <w:style w:type="paragraph" w:styleId="BodyText">
    <w:name w:val="Body Text"/>
    <w:basedOn w:val="Normal"/>
    <w:link w:val="BodyTextChar"/>
    <w:uiPriority w:val="1"/>
    <w:qFormat/>
    <w:rsid w:val="0056056F"/>
    <w:pPr>
      <w:widowControl w:val="0"/>
      <w:autoSpaceDE w:val="0"/>
      <w:autoSpaceDN w:val="0"/>
      <w:spacing w:after="0" w:line="240" w:lineRule="auto"/>
    </w:pPr>
    <w:rPr>
      <w:rFonts w:ascii="Times New Roman" w:eastAsia="Times New Roman" w:hAnsi="Times New Roman"/>
      <w:sz w:val="24"/>
      <w:szCs w:val="24"/>
    </w:rPr>
  </w:style>
  <w:style w:type="character" w:customStyle="1" w:styleId="BodyTextChar">
    <w:name w:val="Body Text Char"/>
    <w:link w:val="BodyText"/>
    <w:uiPriority w:val="1"/>
    <w:rsid w:val="0056056F"/>
    <w:rPr>
      <w:rFonts w:ascii="Times New Roman" w:eastAsia="Times New Roman" w:hAnsi="Times New Roman" w:cs="Mangal"/>
      <w:sz w:val="24"/>
      <w:szCs w:val="24"/>
    </w:rPr>
  </w:style>
  <w:style w:type="character" w:customStyle="1" w:styleId="Heading2Char">
    <w:name w:val="Heading 2 Char"/>
    <w:link w:val="Heading2"/>
    <w:uiPriority w:val="9"/>
    <w:rsid w:val="00340407"/>
    <w:rPr>
      <w:rFonts w:ascii="Cambria" w:eastAsia="Times New Roman" w:hAnsi="Cambria" w:cs="Mangal"/>
      <w:b/>
      <w:bCs/>
      <w:color w:val="4F81BD"/>
      <w:sz w:val="26"/>
      <w:szCs w:val="23"/>
    </w:rPr>
  </w:style>
  <w:style w:type="character" w:styleId="Hyperlink">
    <w:name w:val="Hyperlink"/>
    <w:uiPriority w:val="99"/>
    <w:unhideWhenUsed/>
    <w:rsid w:val="00574734"/>
    <w:rPr>
      <w:color w:val="0000FF"/>
      <w:u w:val="single"/>
    </w:rPr>
  </w:style>
  <w:style w:type="paragraph" w:styleId="EndnoteText">
    <w:name w:val="endnote text"/>
    <w:basedOn w:val="Normal"/>
    <w:link w:val="EndnoteTextChar"/>
    <w:uiPriority w:val="99"/>
    <w:semiHidden/>
    <w:unhideWhenUsed/>
    <w:rsid w:val="00234589"/>
    <w:pPr>
      <w:spacing w:after="0" w:line="240" w:lineRule="auto"/>
    </w:pPr>
    <w:rPr>
      <w:sz w:val="20"/>
      <w:szCs w:val="18"/>
    </w:rPr>
  </w:style>
  <w:style w:type="character" w:customStyle="1" w:styleId="EndnoteTextChar">
    <w:name w:val="Endnote Text Char"/>
    <w:link w:val="EndnoteText"/>
    <w:uiPriority w:val="99"/>
    <w:semiHidden/>
    <w:rsid w:val="00234589"/>
    <w:rPr>
      <w:rFonts w:cs="Mangal"/>
      <w:sz w:val="20"/>
      <w:szCs w:val="18"/>
    </w:rPr>
  </w:style>
  <w:style w:type="character" w:styleId="EndnoteReference">
    <w:name w:val="endnote reference"/>
    <w:uiPriority w:val="99"/>
    <w:semiHidden/>
    <w:unhideWhenUsed/>
    <w:rsid w:val="00234589"/>
    <w:rPr>
      <w:vertAlign w:val="superscript"/>
    </w:rPr>
  </w:style>
  <w:style w:type="character" w:styleId="FollowedHyperlink">
    <w:name w:val="FollowedHyperlink"/>
    <w:uiPriority w:val="99"/>
    <w:semiHidden/>
    <w:unhideWhenUsed/>
    <w:rsid w:val="007D0867"/>
    <w:rPr>
      <w:color w:val="800080"/>
      <w:u w:val="single"/>
    </w:rPr>
  </w:style>
  <w:style w:type="paragraph" w:styleId="NoSpacing">
    <w:name w:val="No Spacing"/>
    <w:aliases w:val="Table"/>
    <w:uiPriority w:val="1"/>
    <w:qFormat/>
    <w:rsid w:val="00F00B36"/>
    <w:pPr>
      <w:spacing w:line="276" w:lineRule="auto"/>
      <w:jc w:val="center"/>
    </w:pPr>
    <w:rPr>
      <w:rFonts w:ascii="Times New Roman" w:hAnsi="Times New Roman"/>
      <w:sz w:val="24"/>
      <w:szCs w:val="22"/>
    </w:rPr>
  </w:style>
  <w:style w:type="character" w:styleId="CommentReference">
    <w:name w:val="annotation reference"/>
    <w:uiPriority w:val="99"/>
    <w:unhideWhenUsed/>
    <w:rsid w:val="00F00B36"/>
    <w:rPr>
      <w:sz w:val="16"/>
      <w:szCs w:val="16"/>
    </w:rPr>
  </w:style>
  <w:style w:type="paragraph" w:styleId="BalloonText">
    <w:name w:val="Balloon Text"/>
    <w:basedOn w:val="Normal"/>
    <w:link w:val="BalloonTextChar"/>
    <w:uiPriority w:val="99"/>
    <w:semiHidden/>
    <w:unhideWhenUsed/>
    <w:rsid w:val="00F00B36"/>
    <w:pPr>
      <w:spacing w:after="0" w:line="240" w:lineRule="auto"/>
    </w:pPr>
    <w:rPr>
      <w:rFonts w:ascii="Tahoma" w:hAnsi="Tahoma"/>
      <w:sz w:val="16"/>
      <w:szCs w:val="14"/>
    </w:rPr>
  </w:style>
  <w:style w:type="character" w:customStyle="1" w:styleId="BalloonTextChar">
    <w:name w:val="Balloon Text Char"/>
    <w:link w:val="BalloonText"/>
    <w:uiPriority w:val="99"/>
    <w:semiHidden/>
    <w:rsid w:val="00F00B36"/>
    <w:rPr>
      <w:rFonts w:ascii="Tahoma" w:hAnsi="Tahoma" w:cs="Mangal"/>
      <w:sz w:val="16"/>
      <w:szCs w:val="14"/>
    </w:rPr>
  </w:style>
  <w:style w:type="table" w:styleId="TableGrid">
    <w:name w:val="Table Grid"/>
    <w:basedOn w:val="TableNormal"/>
    <w:uiPriority w:val="39"/>
    <w:rsid w:val="009D02C1"/>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561B0D"/>
    <w:pPr>
      <w:spacing w:after="0" w:line="240" w:lineRule="auto"/>
    </w:pPr>
    <w:rPr>
      <w:sz w:val="20"/>
      <w:szCs w:val="18"/>
    </w:rPr>
  </w:style>
  <w:style w:type="character" w:customStyle="1" w:styleId="FootnoteTextChar">
    <w:name w:val="Footnote Text Char"/>
    <w:link w:val="FootnoteText"/>
    <w:uiPriority w:val="99"/>
    <w:semiHidden/>
    <w:rsid w:val="00561B0D"/>
    <w:rPr>
      <w:rFonts w:cs="Mangal"/>
      <w:sz w:val="20"/>
      <w:szCs w:val="18"/>
    </w:rPr>
  </w:style>
  <w:style w:type="character" w:styleId="FootnoteReference">
    <w:name w:val="footnote reference"/>
    <w:uiPriority w:val="99"/>
    <w:semiHidden/>
    <w:unhideWhenUsed/>
    <w:rsid w:val="00561B0D"/>
    <w:rPr>
      <w:vertAlign w:val="superscript"/>
    </w:rPr>
  </w:style>
  <w:style w:type="paragraph" w:styleId="Header">
    <w:name w:val="header"/>
    <w:basedOn w:val="Normal"/>
    <w:link w:val="HeaderChar"/>
    <w:uiPriority w:val="99"/>
    <w:unhideWhenUsed/>
    <w:rsid w:val="004C1023"/>
    <w:pPr>
      <w:tabs>
        <w:tab w:val="center" w:pos="4680"/>
        <w:tab w:val="right" w:pos="9360"/>
      </w:tabs>
      <w:spacing w:after="0" w:line="240" w:lineRule="auto"/>
    </w:pPr>
  </w:style>
  <w:style w:type="character" w:customStyle="1" w:styleId="HeaderChar">
    <w:name w:val="Header Char"/>
    <w:link w:val="Header"/>
    <w:uiPriority w:val="99"/>
    <w:rsid w:val="004C1023"/>
    <w:rPr>
      <w:rFonts w:cs="Mangal"/>
    </w:rPr>
  </w:style>
  <w:style w:type="paragraph" w:styleId="Footer">
    <w:name w:val="footer"/>
    <w:basedOn w:val="Normal"/>
    <w:link w:val="FooterChar"/>
    <w:uiPriority w:val="99"/>
    <w:unhideWhenUsed/>
    <w:rsid w:val="004C1023"/>
    <w:pPr>
      <w:tabs>
        <w:tab w:val="center" w:pos="4680"/>
        <w:tab w:val="right" w:pos="9360"/>
      </w:tabs>
      <w:spacing w:after="0" w:line="240" w:lineRule="auto"/>
    </w:pPr>
  </w:style>
  <w:style w:type="character" w:customStyle="1" w:styleId="FooterChar">
    <w:name w:val="Footer Char"/>
    <w:link w:val="Footer"/>
    <w:uiPriority w:val="99"/>
    <w:rsid w:val="004C1023"/>
    <w:rPr>
      <w:rFonts w:cs="Mangal"/>
    </w:rPr>
  </w:style>
  <w:style w:type="table" w:customStyle="1" w:styleId="GridTable4-Accent11">
    <w:name w:val="Grid Table 4 - Accent 11"/>
    <w:basedOn w:val="TableNormal"/>
    <w:uiPriority w:val="49"/>
    <w:rsid w:val="008D355B"/>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TableParagraph">
    <w:name w:val="Table Paragraph"/>
    <w:basedOn w:val="Normal"/>
    <w:uiPriority w:val="1"/>
    <w:qFormat/>
    <w:rsid w:val="00F9418A"/>
    <w:pPr>
      <w:widowControl w:val="0"/>
      <w:autoSpaceDE w:val="0"/>
      <w:autoSpaceDN w:val="0"/>
      <w:spacing w:after="0" w:line="240" w:lineRule="auto"/>
    </w:pPr>
    <w:rPr>
      <w:rFonts w:ascii="Times New Roman" w:eastAsia="Times New Roman" w:hAnsi="Times New Roman" w:cs="Times New Roman"/>
      <w:szCs w:val="22"/>
      <w:lang w:bidi="ar-SA"/>
    </w:rPr>
  </w:style>
  <w:style w:type="paragraph" w:styleId="CommentSubject">
    <w:name w:val="annotation subject"/>
    <w:basedOn w:val="CommentText"/>
    <w:next w:val="CommentText"/>
    <w:link w:val="CommentSubjectChar"/>
    <w:uiPriority w:val="99"/>
    <w:semiHidden/>
    <w:unhideWhenUsed/>
    <w:rsid w:val="00223ED4"/>
    <w:pPr>
      <w:spacing w:after="160"/>
    </w:pPr>
    <w:rPr>
      <w:rFonts w:ascii="Calibri" w:eastAsia="Calibri" w:hAnsi="Calibri" w:cs="Mangal"/>
      <w:b/>
      <w:bCs/>
      <w:szCs w:val="18"/>
      <w:lang w:bidi="hi-IN"/>
    </w:rPr>
  </w:style>
  <w:style w:type="character" w:customStyle="1" w:styleId="CommentSubjectChar">
    <w:name w:val="Comment Subject Char"/>
    <w:link w:val="CommentSubject"/>
    <w:uiPriority w:val="99"/>
    <w:semiHidden/>
    <w:rsid w:val="00223ED4"/>
    <w:rPr>
      <w:rFonts w:ascii="Times New Roman" w:eastAsia="Times New Roman" w:hAnsi="Times New Roman" w:cs="Mangal"/>
      <w:b/>
      <w:bCs/>
      <w:sz w:val="20"/>
      <w:szCs w:val="18"/>
      <w:lang w:bidi="ar-SA"/>
    </w:rPr>
  </w:style>
  <w:style w:type="character" w:customStyle="1" w:styleId="UnresolvedMention1">
    <w:name w:val="Unresolved Mention1"/>
    <w:uiPriority w:val="99"/>
    <w:semiHidden/>
    <w:unhideWhenUsed/>
    <w:rsid w:val="00C71874"/>
    <w:rPr>
      <w:color w:val="605E5C"/>
      <w:shd w:val="clear" w:color="auto" w:fill="E1DFDD"/>
    </w:rPr>
  </w:style>
  <w:style w:type="character" w:customStyle="1" w:styleId="zmsearchresult">
    <w:name w:val="zmsearchresult"/>
    <w:basedOn w:val="DefaultParagraphFont"/>
    <w:rsid w:val="004F245F"/>
  </w:style>
  <w:style w:type="paragraph" w:styleId="Revision">
    <w:name w:val="Revision"/>
    <w:hidden/>
    <w:uiPriority w:val="99"/>
    <w:semiHidden/>
    <w:rsid w:val="00F6086F"/>
    <w:rPr>
      <w:sz w:val="22"/>
      <w:lang w:bidi="hi-IN"/>
    </w:rPr>
  </w:style>
  <w:style w:type="character" w:styleId="Emphasis">
    <w:name w:val="Emphasis"/>
    <w:basedOn w:val="DefaultParagraphFont"/>
    <w:uiPriority w:val="20"/>
    <w:qFormat/>
    <w:rsid w:val="00132E0E"/>
    <w:rPr>
      <w:i/>
      <w:iCs/>
    </w:rPr>
  </w:style>
  <w:style w:type="paragraph" w:customStyle="1" w:styleId="paragraph">
    <w:name w:val="paragraph"/>
    <w:basedOn w:val="Normal"/>
    <w:rsid w:val="004332D1"/>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normaltextrun">
    <w:name w:val="normaltextrun"/>
    <w:basedOn w:val="DefaultParagraphFont"/>
    <w:rsid w:val="004332D1"/>
  </w:style>
  <w:style w:type="character" w:customStyle="1" w:styleId="eop">
    <w:name w:val="eop"/>
    <w:basedOn w:val="DefaultParagraphFont"/>
    <w:rsid w:val="004332D1"/>
  </w:style>
  <w:style w:type="character" w:customStyle="1" w:styleId="fontstyle01">
    <w:name w:val="fontstyle01"/>
    <w:basedOn w:val="DefaultParagraphFont"/>
    <w:rsid w:val="00557F90"/>
    <w:rPr>
      <w:rFonts w:ascii="TimesNewRomanPSMT" w:hAnsi="TimesNewRomanPSMT" w:hint="default"/>
      <w:b w:val="0"/>
      <w:bCs w:val="0"/>
      <w:i w:val="0"/>
      <w:iCs w:val="0"/>
      <w:color w:val="242021"/>
      <w:sz w:val="24"/>
      <w:szCs w:val="24"/>
    </w:rPr>
  </w:style>
  <w:style w:type="character" w:customStyle="1" w:styleId="fontstyle21">
    <w:name w:val="fontstyle21"/>
    <w:basedOn w:val="DefaultParagraphFont"/>
    <w:rsid w:val="00F30B85"/>
    <w:rPr>
      <w:rFonts w:ascii="TimesNewRomanPS-BoldMT" w:hAnsi="TimesNewRomanPS-BoldMT" w:hint="default"/>
      <w:b/>
      <w:bCs/>
      <w:i w:val="0"/>
      <w:iCs w:val="0"/>
      <w:color w:val="242021"/>
      <w:sz w:val="24"/>
      <w:szCs w:val="24"/>
    </w:rPr>
  </w:style>
  <w:style w:type="character" w:customStyle="1" w:styleId="Heading3Char">
    <w:name w:val="Heading 3 Char"/>
    <w:basedOn w:val="DefaultParagraphFont"/>
    <w:link w:val="Heading3"/>
    <w:uiPriority w:val="9"/>
    <w:rsid w:val="00F6197A"/>
    <w:rPr>
      <w:rFonts w:asciiTheme="majorHAnsi" w:eastAsiaTheme="majorEastAsia" w:hAnsiTheme="majorHAnsi" w:cstheme="majorBidi"/>
      <w:color w:val="1F4D78" w:themeColor="accent1" w:themeShade="7F"/>
      <w:sz w:val="24"/>
      <w:szCs w:val="2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898118">
      <w:bodyDiv w:val="1"/>
      <w:marLeft w:val="0"/>
      <w:marRight w:val="0"/>
      <w:marTop w:val="0"/>
      <w:marBottom w:val="0"/>
      <w:divBdr>
        <w:top w:val="none" w:sz="0" w:space="0" w:color="auto"/>
        <w:left w:val="none" w:sz="0" w:space="0" w:color="auto"/>
        <w:bottom w:val="none" w:sz="0" w:space="0" w:color="auto"/>
        <w:right w:val="none" w:sz="0" w:space="0" w:color="auto"/>
      </w:divBdr>
    </w:div>
    <w:div w:id="488788321">
      <w:bodyDiv w:val="1"/>
      <w:marLeft w:val="0"/>
      <w:marRight w:val="0"/>
      <w:marTop w:val="0"/>
      <w:marBottom w:val="0"/>
      <w:divBdr>
        <w:top w:val="none" w:sz="0" w:space="0" w:color="auto"/>
        <w:left w:val="none" w:sz="0" w:space="0" w:color="auto"/>
        <w:bottom w:val="none" w:sz="0" w:space="0" w:color="auto"/>
        <w:right w:val="none" w:sz="0" w:space="0" w:color="auto"/>
      </w:divBdr>
    </w:div>
    <w:div w:id="1788692738">
      <w:bodyDiv w:val="1"/>
      <w:marLeft w:val="0"/>
      <w:marRight w:val="0"/>
      <w:marTop w:val="0"/>
      <w:marBottom w:val="0"/>
      <w:divBdr>
        <w:top w:val="none" w:sz="0" w:space="0" w:color="auto"/>
        <w:left w:val="none" w:sz="0" w:space="0" w:color="auto"/>
        <w:bottom w:val="none" w:sz="0" w:space="0" w:color="auto"/>
        <w:right w:val="none" w:sz="0" w:space="0" w:color="auto"/>
      </w:divBdr>
      <w:divsChild>
        <w:div w:id="581597606">
          <w:marLeft w:val="0"/>
          <w:marRight w:val="0"/>
          <w:marTop w:val="0"/>
          <w:marBottom w:val="0"/>
          <w:divBdr>
            <w:top w:val="none" w:sz="0" w:space="0" w:color="auto"/>
            <w:left w:val="none" w:sz="0" w:space="0" w:color="auto"/>
            <w:bottom w:val="none" w:sz="0" w:space="0" w:color="auto"/>
            <w:right w:val="none" w:sz="0" w:space="0" w:color="auto"/>
          </w:divBdr>
        </w:div>
        <w:div w:id="303001941">
          <w:marLeft w:val="0"/>
          <w:marRight w:val="0"/>
          <w:marTop w:val="0"/>
          <w:marBottom w:val="0"/>
          <w:divBdr>
            <w:top w:val="none" w:sz="0" w:space="0" w:color="auto"/>
            <w:left w:val="none" w:sz="0" w:space="0" w:color="auto"/>
            <w:bottom w:val="none" w:sz="0" w:space="0" w:color="auto"/>
            <w:right w:val="none" w:sz="0" w:space="0" w:color="auto"/>
          </w:divBdr>
        </w:div>
      </w:divsChild>
    </w:div>
    <w:div w:id="189701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bc\AppData\Local\ag\AppData\Local\Downloads\KDs%20_NTA\KD_Reconciliation0001.pdf" TargetMode="External"/><Relationship Id="rId13" Type="http://schemas.openxmlformats.org/officeDocument/2006/relationships/hyperlink" Target="file:///F:\Users\om\AppData\Local\Microsoft\Windows\Temporary%20Internet%20Files\Content.Outlook\AppData\Local\Temp\Rar$DIa0.889\PD.doc" TargetMode="External"/><Relationship Id="rId18" Type="http://schemas.openxmlformats.org/officeDocument/2006/relationships/hyperlink" Target="file:///C:\Welfare\AppData\Local\Temp\AG\Desktop\PNTA_18-19\KD_PNTA_18-19\kd_2_iii_AC%20DC%20BILL.docx" TargetMode="External"/><Relationship Id="rId3" Type="http://schemas.openxmlformats.org/officeDocument/2006/relationships/styles" Target="styles.xml"/><Relationship Id="rId21" Type="http://schemas.openxmlformats.org/officeDocument/2006/relationships/hyperlink" Target="file:///F:\Users\om\AppData\Local\Microsoft\Windows\Temporary%20Internet%20Files\Content.Outlook\AppData\Local\Temp\Rar$DIa0.889\Fa_21.rtf" TargetMode="External"/><Relationship Id="rId7" Type="http://schemas.openxmlformats.org/officeDocument/2006/relationships/endnotes" Target="endnotes.xml"/><Relationship Id="rId12" Type="http://schemas.openxmlformats.org/officeDocument/2006/relationships/hyperlink" Target="file:///C:\Users\abc\AppData\Local\Welfare\AppData\Local\Temp\AG\Desktop\PNTA_18-19\kd_AND_ANNEXURE\kd_2_i_800_rcpt.txt" TargetMode="External"/><Relationship Id="rId17" Type="http://schemas.openxmlformats.org/officeDocument/2006/relationships/hyperlink" Target="file:///F:\Users\om\AppData\Local\Microsoft\Windows\Temporary%20Internet%20Files\Content.Outlook\AppData\Local\Temp\Rar$DIa0.889\AC%20DC%20BIL1.doc" TargetMode="External"/><Relationship Id="rId2" Type="http://schemas.openxmlformats.org/officeDocument/2006/relationships/numbering" Target="numbering.xml"/><Relationship Id="rId16" Type="http://schemas.openxmlformats.org/officeDocument/2006/relationships/hyperlink" Target="file:///F:\Users\om\AppData\Local\Microsoft\Windows\Temporary%20Internet%20Files\Content.Outlook\AppData\Local\Temp\Rar$DIa0.889\Fa_21.rtf" TargetMode="External"/><Relationship Id="rId20" Type="http://schemas.openxmlformats.org/officeDocument/2006/relationships/hyperlink" Target="file:///C:\Users\abc\AppData\Local\Welfare\AppData\Local\Temp\AG\Desktop\PNTA_18-19\KD_AND_ANNEXURE_2017-18\KD_3_(i)_Liability.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bc\AppData\Local\Welfare\AppData\Local\Temp\AG\Desktop\PNTA_18-19\kd_AND_ANNEXURE\kd_2_i_800_rcpt.tx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F:\Users\om\AppData\Local\Microsoft\Windows\Temporary%20Internet%20Files\Content.Outlook\AppData\Local\Temp\Rar$DIa0.889\Fa_21.rtf" TargetMode="External"/><Relationship Id="rId23" Type="http://schemas.openxmlformats.org/officeDocument/2006/relationships/fontTable" Target="fontTable.xml"/><Relationship Id="rId10" Type="http://schemas.openxmlformats.org/officeDocument/2006/relationships/hyperlink" Target="file:///C:\Users\abc\AppData\Local\ag\AppData\Local\Downloads\KDs%20_NTA\KD_Reconciliation0001.pdf" TargetMode="External"/><Relationship Id="rId19" Type="http://schemas.openxmlformats.org/officeDocument/2006/relationships/hyperlink" Target="file:///C:\Users\abc\AppData\Local\ag\AppData\Local\Downloads\KDs%20_NTA\KD_Guarantee%202019-20_.xls" TargetMode="External"/><Relationship Id="rId4" Type="http://schemas.openxmlformats.org/officeDocument/2006/relationships/settings" Target="settings.xml"/><Relationship Id="rId9" Type="http://schemas.openxmlformats.org/officeDocument/2006/relationships/hyperlink" Target="file:///C:\Users\abc\AppData\Local\ag\AppData\Local\Downloads\KDs%20_NTA\KD_Reconciliation0001.pdf" TargetMode="External"/><Relationship Id="rId14" Type="http://schemas.openxmlformats.org/officeDocument/2006/relationships/hyperlink" Target="file:///C:\Users\abc\AppData\Local\ag\AppData\Local\Downloads\KDs%20_PNTA%20_NTA\KD_Transfer_PD%20ACCOUNTS%20DR%20CR.doc"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57BEB9-073D-41FF-ADD0-A9E53986C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1506</TotalTime>
  <Pages>16</Pages>
  <Words>5673</Words>
  <Characters>32341</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37939</CharactersWithSpaces>
  <SharedDoc>false</SharedDoc>
  <HLinks>
    <vt:vector size="90" baseType="variant">
      <vt:variant>
        <vt:i4>1572959</vt:i4>
      </vt:variant>
      <vt:variant>
        <vt:i4>42</vt:i4>
      </vt:variant>
      <vt:variant>
        <vt:i4>0</vt:i4>
      </vt:variant>
      <vt:variant>
        <vt:i4>5</vt:i4>
      </vt:variant>
      <vt:variant>
        <vt:lpwstr>F:\Users\om\AppData\Local\Microsoft\Windows\Temporary Internet Files\Content.Outlook\AppData\Local\Temp\Rar$DIa0.889\Fa_21.rtf</vt:lpwstr>
      </vt:variant>
      <vt:variant>
        <vt:lpwstr/>
      </vt:variant>
      <vt:variant>
        <vt:i4>589927</vt:i4>
      </vt:variant>
      <vt:variant>
        <vt:i4>39</vt:i4>
      </vt:variant>
      <vt:variant>
        <vt:i4>0</vt:i4>
      </vt:variant>
      <vt:variant>
        <vt:i4>5</vt:i4>
      </vt:variant>
      <vt:variant>
        <vt:lpwstr>../AppData/Local/Welfare/AppData/Local/Temp/AG/Desktop/PNTA_18-19/KD_AND_ANNEXURE_2017-18/KD_3_(i)_Liability.docx</vt:lpwstr>
      </vt:variant>
      <vt:variant>
        <vt:lpwstr/>
      </vt:variant>
      <vt:variant>
        <vt:i4>6619205</vt:i4>
      </vt:variant>
      <vt:variant>
        <vt:i4>36</vt:i4>
      </vt:variant>
      <vt:variant>
        <vt:i4>0</vt:i4>
      </vt:variant>
      <vt:variant>
        <vt:i4>5</vt:i4>
      </vt:variant>
      <vt:variant>
        <vt:lpwstr>../AppData/Local/ag/AppData/Local/Downloads/KDs _NTA/KD_Guarantee 2019-20_.xls</vt:lpwstr>
      </vt:variant>
      <vt:variant>
        <vt:lpwstr/>
      </vt:variant>
      <vt:variant>
        <vt:i4>983094</vt:i4>
      </vt:variant>
      <vt:variant>
        <vt:i4>33</vt:i4>
      </vt:variant>
      <vt:variant>
        <vt:i4>0</vt:i4>
      </vt:variant>
      <vt:variant>
        <vt:i4>5</vt:i4>
      </vt:variant>
      <vt:variant>
        <vt:lpwstr>F:\Users\om\AppData\Local\Microsoft\Windows\Temporary Internet Files\Content.Outlook\AppData\Local\Temp\Rar$DIa0.889\GIA DETAILS.doc</vt:lpwstr>
      </vt:variant>
      <vt:variant>
        <vt:lpwstr/>
      </vt:variant>
      <vt:variant>
        <vt:i4>5505030</vt:i4>
      </vt:variant>
      <vt:variant>
        <vt:i4>30</vt:i4>
      </vt:variant>
      <vt:variant>
        <vt:i4>0</vt:i4>
      </vt:variant>
      <vt:variant>
        <vt:i4>5</vt:i4>
      </vt:variant>
      <vt:variant>
        <vt:lpwstr>../AppData/Local/Welfare/AppData/Local/Temp/AG/Desktop/PNTA_18-19/KD_PNTA_18-19/kd_2_iii_AC DC BILL.docx</vt:lpwstr>
      </vt:variant>
      <vt:variant>
        <vt:lpwstr/>
      </vt:variant>
      <vt:variant>
        <vt:i4>2555949</vt:i4>
      </vt:variant>
      <vt:variant>
        <vt:i4>27</vt:i4>
      </vt:variant>
      <vt:variant>
        <vt:i4>0</vt:i4>
      </vt:variant>
      <vt:variant>
        <vt:i4>5</vt:i4>
      </vt:variant>
      <vt:variant>
        <vt:lpwstr>../AppData/Local/ag/AppData/Local/Downloads/KDs _PNTA _NTA/KD_AC_DC Bill.doc</vt:lpwstr>
      </vt:variant>
      <vt:variant>
        <vt:lpwstr/>
      </vt:variant>
      <vt:variant>
        <vt:i4>6881357</vt:i4>
      </vt:variant>
      <vt:variant>
        <vt:i4>24</vt:i4>
      </vt:variant>
      <vt:variant>
        <vt:i4>0</vt:i4>
      </vt:variant>
      <vt:variant>
        <vt:i4>5</vt:i4>
      </vt:variant>
      <vt:variant>
        <vt:lpwstr>F:\Users\om\AppData\Local\Microsoft\Windows\Temporary Internet Files\Content.Outlook\AppData\Local\Temp\Rar$DIa0.889\AC DC BIL1.doc</vt:lpwstr>
      </vt:variant>
      <vt:variant>
        <vt:lpwstr/>
      </vt:variant>
      <vt:variant>
        <vt:i4>1572959</vt:i4>
      </vt:variant>
      <vt:variant>
        <vt:i4>21</vt:i4>
      </vt:variant>
      <vt:variant>
        <vt:i4>0</vt:i4>
      </vt:variant>
      <vt:variant>
        <vt:i4>5</vt:i4>
      </vt:variant>
      <vt:variant>
        <vt:lpwstr>F:\Users\om\AppData\Local\Microsoft\Windows\Temporary Internet Files\Content.Outlook\AppData\Local\Temp\Rar$DIa0.889\Fa_21.rtf</vt:lpwstr>
      </vt:variant>
      <vt:variant>
        <vt:lpwstr/>
      </vt:variant>
      <vt:variant>
        <vt:i4>1769565</vt:i4>
      </vt:variant>
      <vt:variant>
        <vt:i4>18</vt:i4>
      </vt:variant>
      <vt:variant>
        <vt:i4>0</vt:i4>
      </vt:variant>
      <vt:variant>
        <vt:i4>5</vt:i4>
      </vt:variant>
      <vt:variant>
        <vt:lpwstr>../AppData/Local/Welfare/AppData/Local/Temp/AG/Desktop/PNTA_18-19/kd_AND_ANNEXURE/kd_2_iv_ inoperative P.D.Accounts .docx</vt:lpwstr>
      </vt:variant>
      <vt:variant>
        <vt:lpwstr/>
      </vt:variant>
      <vt:variant>
        <vt:i4>7995508</vt:i4>
      </vt:variant>
      <vt:variant>
        <vt:i4>15</vt:i4>
      </vt:variant>
      <vt:variant>
        <vt:i4>0</vt:i4>
      </vt:variant>
      <vt:variant>
        <vt:i4>5</vt:i4>
      </vt:variant>
      <vt:variant>
        <vt:lpwstr>../AppData/Local/ag/AppData/Local/Downloads/KDs _PNTA _NTA/KD_Transfer_PD ACCOUNTS DR CR.doc</vt:lpwstr>
      </vt:variant>
      <vt:variant>
        <vt:lpwstr/>
      </vt:variant>
      <vt:variant>
        <vt:i4>3473494</vt:i4>
      </vt:variant>
      <vt:variant>
        <vt:i4>12</vt:i4>
      </vt:variant>
      <vt:variant>
        <vt:i4>0</vt:i4>
      </vt:variant>
      <vt:variant>
        <vt:i4>5</vt:i4>
      </vt:variant>
      <vt:variant>
        <vt:lpwstr>F:\Users\om\AppData\Local\Microsoft\Windows\Temporary Internet Files\Content.Outlook\AppData\Local\Temp\Rar$DIa0.889\PD.doc</vt:lpwstr>
      </vt:variant>
      <vt:variant>
        <vt:lpwstr/>
      </vt:variant>
      <vt:variant>
        <vt:i4>2490438</vt:i4>
      </vt:variant>
      <vt:variant>
        <vt:i4>9</vt:i4>
      </vt:variant>
      <vt:variant>
        <vt:i4>0</vt:i4>
      </vt:variant>
      <vt:variant>
        <vt:i4>5</vt:i4>
      </vt:variant>
      <vt:variant>
        <vt:lpwstr>../AppData/Local/Welfare/AppData/Local/Temp/AG/Desktop/PNTA_18-19/kd_AND_ANNEXURE/kd_2_i_800_rcpt.txt</vt:lpwstr>
      </vt:variant>
      <vt:variant>
        <vt:lpwstr/>
      </vt:variant>
      <vt:variant>
        <vt:i4>2490438</vt:i4>
      </vt:variant>
      <vt:variant>
        <vt:i4>6</vt:i4>
      </vt:variant>
      <vt:variant>
        <vt:i4>0</vt:i4>
      </vt:variant>
      <vt:variant>
        <vt:i4>5</vt:i4>
      </vt:variant>
      <vt:variant>
        <vt:lpwstr>../AppData/Local/Welfare/AppData/Local/Temp/AG/Desktop/PNTA_18-19/kd_AND_ANNEXURE/kd_2_i_800_rcpt.txt</vt:lpwstr>
      </vt:variant>
      <vt:variant>
        <vt:lpwstr/>
      </vt:variant>
      <vt:variant>
        <vt:i4>5374017</vt:i4>
      </vt:variant>
      <vt:variant>
        <vt:i4>3</vt:i4>
      </vt:variant>
      <vt:variant>
        <vt:i4>0</vt:i4>
      </vt:variant>
      <vt:variant>
        <vt:i4>5</vt:i4>
      </vt:variant>
      <vt:variant>
        <vt:lpwstr>../AppData/Local/ag/AppData/Local/Downloads/KDs _NTA/KD_Reconciliation0001.pdf</vt:lpwstr>
      </vt:variant>
      <vt:variant>
        <vt:lpwstr/>
      </vt:variant>
      <vt:variant>
        <vt:i4>5374017</vt:i4>
      </vt:variant>
      <vt:variant>
        <vt:i4>0</vt:i4>
      </vt:variant>
      <vt:variant>
        <vt:i4>0</vt:i4>
      </vt:variant>
      <vt:variant>
        <vt:i4>5</vt:i4>
      </vt:variant>
      <vt:variant>
        <vt:lpwstr>../AppData/Local/ag/AppData/Local/Downloads/KDs _NTA/KD_Reconciliation0001.pdf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dc:creator>
  <cp:keywords/>
  <dc:description/>
  <cp:lastModifiedBy>Two</cp:lastModifiedBy>
  <cp:revision>277</cp:revision>
  <cp:lastPrinted>2024-01-15T05:58:00Z</cp:lastPrinted>
  <dcterms:created xsi:type="dcterms:W3CDTF">2023-06-28T08:48:00Z</dcterms:created>
  <dcterms:modified xsi:type="dcterms:W3CDTF">2024-02-08T06:28:00Z</dcterms:modified>
</cp:coreProperties>
</file>